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26B106"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p>
    <w:p w14:paraId="406203BA"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p>
    <w:p w14:paraId="0B35DA87"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p>
    <w:p w14:paraId="2C0D2C5C"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p>
    <w:p w14:paraId="106B8B8F"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p>
    <w:p w14:paraId="08D5A107"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p>
    <w:p w14:paraId="068F463D"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p>
    <w:p w14:paraId="41864A95"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r w:rsidRPr="0078563F">
        <w:rPr>
          <w:rFonts w:ascii="Times New Roman" w:eastAsia="Times New Roman" w:hAnsi="Times New Roman" w:cs="Times New Roman"/>
          <w:color w:val="000000" w:themeColor="text1"/>
          <w:sz w:val="24"/>
          <w:szCs w:val="24"/>
        </w:rPr>
        <w:t>Macroeconomic Indicators in Illinois</w:t>
      </w:r>
    </w:p>
    <w:p w14:paraId="57E8075A" w14:textId="77777777" w:rsidR="0043407C" w:rsidRPr="0078563F" w:rsidRDefault="0043407C" w:rsidP="0043407C">
      <w:pPr>
        <w:spacing w:line="480" w:lineRule="auto"/>
        <w:jc w:val="center"/>
        <w:rPr>
          <w:rFonts w:ascii="Times New Roman" w:eastAsia="Calibri" w:hAnsi="Times New Roman" w:cs="Times New Roman"/>
          <w:color w:val="000000" w:themeColor="text1"/>
          <w:sz w:val="24"/>
          <w:szCs w:val="24"/>
        </w:rPr>
      </w:pPr>
      <w:r w:rsidRPr="0078563F">
        <w:rPr>
          <w:rFonts w:ascii="Times New Roman" w:eastAsia="Calibri" w:hAnsi="Times New Roman" w:cs="Times New Roman"/>
          <w:color w:val="000000" w:themeColor="text1"/>
          <w:sz w:val="24"/>
          <w:szCs w:val="24"/>
        </w:rPr>
        <w:t>Name of author</w:t>
      </w:r>
    </w:p>
    <w:p w14:paraId="7B6EDDA2" w14:textId="77777777" w:rsidR="0043407C" w:rsidRPr="0078563F" w:rsidRDefault="0043407C" w:rsidP="0043407C">
      <w:pPr>
        <w:spacing w:line="480" w:lineRule="auto"/>
        <w:jc w:val="center"/>
        <w:rPr>
          <w:rFonts w:ascii="Times New Roman" w:eastAsia="Calibri" w:hAnsi="Times New Roman" w:cs="Times New Roman"/>
          <w:color w:val="000000" w:themeColor="text1"/>
          <w:sz w:val="24"/>
          <w:szCs w:val="24"/>
        </w:rPr>
      </w:pPr>
      <w:r w:rsidRPr="0078563F">
        <w:rPr>
          <w:rFonts w:ascii="Times New Roman" w:eastAsia="Calibri" w:hAnsi="Times New Roman" w:cs="Times New Roman"/>
          <w:color w:val="000000" w:themeColor="text1"/>
          <w:sz w:val="24"/>
          <w:szCs w:val="24"/>
        </w:rPr>
        <w:t>E-mail address of the author</w:t>
      </w:r>
    </w:p>
    <w:p w14:paraId="67399D2A" w14:textId="77777777" w:rsidR="0043407C" w:rsidRPr="0078563F" w:rsidRDefault="0043407C" w:rsidP="0043407C">
      <w:pPr>
        <w:spacing w:line="480" w:lineRule="auto"/>
        <w:jc w:val="center"/>
        <w:rPr>
          <w:rFonts w:ascii="Times New Roman" w:eastAsia="Calibri" w:hAnsi="Times New Roman" w:cs="Times New Roman"/>
          <w:color w:val="000000" w:themeColor="text1"/>
          <w:sz w:val="24"/>
          <w:szCs w:val="24"/>
        </w:rPr>
      </w:pPr>
      <w:r w:rsidRPr="0078563F">
        <w:rPr>
          <w:rFonts w:ascii="Times New Roman" w:eastAsia="Calibri" w:hAnsi="Times New Roman" w:cs="Times New Roman"/>
          <w:color w:val="000000" w:themeColor="text1"/>
          <w:sz w:val="24"/>
          <w:szCs w:val="24"/>
        </w:rPr>
        <w:t>Class</w:t>
      </w:r>
    </w:p>
    <w:p w14:paraId="284F4447" w14:textId="77777777" w:rsidR="0043407C" w:rsidRPr="0078563F" w:rsidRDefault="0043407C" w:rsidP="0043407C">
      <w:pPr>
        <w:spacing w:line="480" w:lineRule="auto"/>
        <w:jc w:val="center"/>
        <w:rPr>
          <w:rFonts w:ascii="Times New Roman" w:eastAsia="Calibri" w:hAnsi="Times New Roman" w:cs="Times New Roman"/>
          <w:color w:val="000000" w:themeColor="text1"/>
          <w:sz w:val="24"/>
          <w:szCs w:val="24"/>
        </w:rPr>
      </w:pPr>
      <w:r w:rsidRPr="0078563F">
        <w:rPr>
          <w:rFonts w:ascii="Times New Roman" w:eastAsia="Calibri" w:hAnsi="Times New Roman" w:cs="Times New Roman"/>
          <w:color w:val="000000" w:themeColor="text1"/>
          <w:sz w:val="24"/>
          <w:szCs w:val="24"/>
        </w:rPr>
        <w:t>Professor’s Name</w:t>
      </w:r>
    </w:p>
    <w:p w14:paraId="03FB207A"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r w:rsidRPr="0078563F">
        <w:rPr>
          <w:rFonts w:ascii="Times New Roman" w:eastAsia="Calibri" w:hAnsi="Times New Roman" w:cs="Times New Roman"/>
          <w:color w:val="000000" w:themeColor="text1"/>
          <w:sz w:val="24"/>
          <w:szCs w:val="24"/>
        </w:rPr>
        <w:t>Date</w:t>
      </w:r>
    </w:p>
    <w:p w14:paraId="5419A323"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p>
    <w:p w14:paraId="7694661B"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p>
    <w:p w14:paraId="361E0555"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p>
    <w:p w14:paraId="38BF5A88"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p>
    <w:p w14:paraId="2000E647"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p>
    <w:p w14:paraId="11951682" w14:textId="77777777" w:rsidR="0043407C" w:rsidRPr="0078563F" w:rsidRDefault="0043407C" w:rsidP="0043407C">
      <w:pPr>
        <w:spacing w:line="480" w:lineRule="auto"/>
        <w:jc w:val="center"/>
        <w:rPr>
          <w:rFonts w:ascii="Times New Roman" w:eastAsia="Times New Roman" w:hAnsi="Times New Roman" w:cs="Times New Roman"/>
          <w:color w:val="000000" w:themeColor="text1"/>
          <w:sz w:val="24"/>
          <w:szCs w:val="24"/>
        </w:rPr>
      </w:pPr>
      <w:r w:rsidRPr="0078563F">
        <w:rPr>
          <w:rFonts w:ascii="Times New Roman" w:eastAsia="Times New Roman" w:hAnsi="Times New Roman" w:cs="Times New Roman"/>
          <w:color w:val="000000" w:themeColor="text1"/>
          <w:sz w:val="24"/>
          <w:szCs w:val="24"/>
        </w:rPr>
        <w:lastRenderedPageBreak/>
        <w:t>Macroeconomic Indicators in Illinois</w:t>
      </w:r>
    </w:p>
    <w:p w14:paraId="1F8D4641" w14:textId="77777777" w:rsidR="0043407C" w:rsidRPr="0078563F" w:rsidRDefault="0043407C" w:rsidP="0043407C">
      <w:pPr>
        <w:spacing w:line="480" w:lineRule="auto"/>
        <w:jc w:val="center"/>
        <w:rPr>
          <w:rFonts w:ascii="Times New Roman" w:hAnsi="Times New Roman" w:cs="Times New Roman"/>
          <w:b/>
          <w:color w:val="000000" w:themeColor="text1"/>
          <w:sz w:val="24"/>
          <w:szCs w:val="24"/>
        </w:rPr>
      </w:pPr>
      <w:r w:rsidRPr="0078563F">
        <w:rPr>
          <w:rFonts w:ascii="Times New Roman" w:eastAsia="Times New Roman" w:hAnsi="Times New Roman" w:cs="Times New Roman"/>
          <w:b/>
          <w:bCs/>
          <w:color w:val="000000" w:themeColor="text1"/>
          <w:sz w:val="24"/>
          <w:szCs w:val="24"/>
        </w:rPr>
        <w:t>Introduction</w:t>
      </w:r>
    </w:p>
    <w:p w14:paraId="09CCFAF7" w14:textId="01F53871"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Macroeconomic indicators are essential economic tools for analysis</w:t>
      </w:r>
      <w:r w:rsidR="000E5203">
        <w:rPr>
          <w:color w:val="000000" w:themeColor="text1"/>
        </w:rPr>
        <w:t xml:space="preserve"> in any nations</w:t>
      </w:r>
      <w:r w:rsidRPr="0078563F">
        <w:rPr>
          <w:color w:val="000000" w:themeColor="text1"/>
        </w:rPr>
        <w:t>. Macroeconomic indicators provide acute insights into the state of a country's economy (Kelley, 2019). Macroeconomic indicators have varied meanings as well as impacts on the economy. According to the World Bank report (2019), the United State makes the world's most trusted economy whose macroeconomic indicators offer an impartial source of comprehensive data. In reflection to the Bureau of Economic Analysis data on the USA economy, Gross Domestic Product (GDP) data is ranked as one of the most influential economic indicators not only in the United States but also in other economies. GDP offers magnificent influence to the financial markets. From another point of view, the USA economy is suitably influenced</w:t>
      </w:r>
      <w:bookmarkStart w:id="0" w:name="_GoBack"/>
      <w:bookmarkEnd w:id="0"/>
      <w:r w:rsidRPr="0078563F">
        <w:rPr>
          <w:color w:val="000000" w:themeColor="text1"/>
        </w:rPr>
        <w:t xml:space="preserve"> by a variety of natural resources, developed infrastructure, and high productivity. A report by the Bureau of Economic Analysis (2019) reports that the US economy has the highest-ranking average household in addition to employee income as opposed to the nation's economies. The US economy has illustrated essential features which are often exhibited by other nation's economies. For instance, the USA economy encountered a serious economic downfall during the Great Recession, which lasted between the last quarters of 2007 to the third quarter of 2009. The nation's GDP regained its pre-crisis peak by the year 2011 (Mügge, 2016). Since then, there have been tremendous and positive shifts in the US economy featured with gradual increment in other microeconomic indicators such as an increase in non-farm payroll jobs, increase in household net worth, in addition to the decline in the unemployment rate. In the recent past, the USA economy has manifested the ability to maintain the global economic dominance as a result of fruitful contributions of each state or regional economies in the entire nation leading to laudable success. </w:t>
      </w:r>
      <w:r w:rsidRPr="0078563F">
        <w:rPr>
          <w:color w:val="000000" w:themeColor="text1"/>
        </w:rPr>
        <w:lastRenderedPageBreak/>
        <w:t>According to the Bureau of Economic Analysis (2019), different regional economies in the US have varied levels of contributions. This case study aims to assess as well as analyze the macroeconomic indicators (current and future health of the economy and financial markets) in the context of Illinois. </w:t>
      </w:r>
    </w:p>
    <w:p w14:paraId="17C496EC" w14:textId="77777777" w:rsidR="0043407C" w:rsidRPr="0078563F" w:rsidRDefault="0043407C" w:rsidP="0043407C">
      <w:pPr>
        <w:pStyle w:val="NormalWeb"/>
        <w:spacing w:before="0" w:beforeAutospacing="0" w:after="0" w:afterAutospacing="0" w:line="480" w:lineRule="auto"/>
        <w:jc w:val="center"/>
        <w:rPr>
          <w:b/>
          <w:color w:val="000000" w:themeColor="text1"/>
        </w:rPr>
      </w:pPr>
      <w:r w:rsidRPr="0078563F">
        <w:rPr>
          <w:b/>
          <w:color w:val="000000" w:themeColor="text1"/>
        </w:rPr>
        <w:t>Overview of Illinois Economy</w:t>
      </w:r>
    </w:p>
    <w:p w14:paraId="6BDE9042"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 xml:space="preserve">Illinois economy is one of the most booming economies in the United States and at the global level. As conceded by economic reports, Illinois economy has grown as well as attracted some of the most iconic entrepreneurs and corporations from a global perspective, and these include Boeing Company, Caterpillar, Amazon, and Walmart Inc. among other great organizations. Great economist has no alternative option to honor the region's varied economic advantages in addition to talents. One of the greatest states economic tools include its massive talent pool comprising of more than 6 million people, the majority of whom are elites. The state is endowed with a reliable transport system and logistics networks which remains standalone compared to those of other states in the entire nation. From another point of view, the Illinois tax credits are offered by our partners at the state in addition to local levels to select companies with actual consideration to the relevance of alternative locations (Mügge, 2016). The state operates with an economic oriented mission; that is to maintain focus on establishing new jobs, creating a conducive environment for mega investments, in addition to economic prosperity to the state through dynamic partnership and collaborations to deliver a unified approach towards economic development. Current statistics have illustrated that total Gross Domestic Product (GDP) for Illinois 2019 has made a positive increment by 4.6% (nearly $239.1 billion), in the second quarter of 2019. The outstanding GDP record for Illinois is $21.34 trillion (Mügge, 2016). Over the past five years ending 2018, Illinois economy grew in nominal terms by 16.45% at a </w:t>
      </w:r>
      <w:r w:rsidRPr="0078563F">
        <w:rPr>
          <w:color w:val="000000" w:themeColor="text1"/>
        </w:rPr>
        <w:lastRenderedPageBreak/>
        <w:t>compound annual growth rate amounting to over 3% each financial year leading to a higher level of GDP each of the succeeding years. </w:t>
      </w:r>
    </w:p>
    <w:p w14:paraId="54511A7A"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The unemployment rate in Illinois 2019 records to 3.90%. The current maximum weekly unemployment benefits in the context of Illinois is about $470 per week (IG.com, 2019). The most crucial industries that define the stance of Illinois economy include export industry, manufacturing industry, agriculture industry, mining industry, and service industry among other beneficial industries. These key industries make the most essential as well as the largest dollar amount to the Illinois economy as reported by Netstate.com. The most tradable economy in Illinois economy is service industry; Illinois economy is endowed with a wide array of tradable commodities, businesses, in addition to personal services through hotels, private health care, repair shops, advertising agencies, law firms, and engineering companies which define the reliability of service industry. The major tradable commodities in the Illinois economy is agricultural products such as sorghum, soybeans, and pork (IG.com, 2019). Records report that about 93% of all Illinois sorghum is exported to China, and over 29% of all Illinois soybeans are exported to China. Illinois has a government budget of $40.1 billion in the 2019-20 financial year.</w:t>
      </w:r>
    </w:p>
    <w:p w14:paraId="4671A6BE" w14:textId="77777777" w:rsidR="0043407C" w:rsidRPr="0078563F" w:rsidRDefault="0043407C" w:rsidP="0043407C">
      <w:pPr>
        <w:pStyle w:val="NormalWeb"/>
        <w:spacing w:before="0" w:beforeAutospacing="0" w:after="0" w:afterAutospacing="0" w:line="480" w:lineRule="auto"/>
        <w:jc w:val="center"/>
        <w:rPr>
          <w:color w:val="000000" w:themeColor="text1"/>
        </w:rPr>
      </w:pPr>
      <w:r w:rsidRPr="0078563F">
        <w:rPr>
          <w:rStyle w:val="Strong"/>
          <w:color w:val="000000" w:themeColor="text1"/>
        </w:rPr>
        <w:t>Macroeconomic Indicators in Illinois Economy</w:t>
      </w:r>
    </w:p>
    <w:p w14:paraId="11169A7F"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The study is conventional to five key macroeconomic indicators which are quite evident in the Illinois economy. One of the most outspoken indicators </w:t>
      </w:r>
      <w:r w:rsidRPr="0078563F">
        <w:rPr>
          <w:rStyle w:val="Emphasis"/>
          <w:bCs/>
          <w:i w:val="0"/>
          <w:color w:val="000000" w:themeColor="text1"/>
        </w:rPr>
        <w:t>in Illinois </w:t>
      </w:r>
      <w:r w:rsidRPr="0078563F">
        <w:rPr>
          <w:i/>
          <w:color w:val="000000" w:themeColor="text1"/>
        </w:rPr>
        <w:t>is i</w:t>
      </w:r>
      <w:r w:rsidRPr="0078563F">
        <w:rPr>
          <w:rStyle w:val="Emphasis"/>
          <w:bCs/>
          <w:i w:val="0"/>
          <w:color w:val="000000" w:themeColor="text1"/>
        </w:rPr>
        <w:t>nterest rates which play a core role in defining economic benefits attained through domestically provide loans.</w:t>
      </w:r>
      <w:r w:rsidRPr="0078563F">
        <w:rPr>
          <w:rStyle w:val="Emphasis"/>
          <w:bCs/>
          <w:color w:val="000000" w:themeColor="text1"/>
        </w:rPr>
        <w:t xml:space="preserve"> A</w:t>
      </w:r>
      <w:r w:rsidRPr="0078563F">
        <w:rPr>
          <w:color w:val="000000" w:themeColor="text1"/>
        </w:rPr>
        <w:t xml:space="preserve">ccording to Netstate.com, interest rates of Illinois is highly reliable, and predictive indicator of economic growth. Another factor is the unemployment gap has had gradual changes despite the government's effort to crush it to a zero and the efforts assimilated with the high-techno economy </w:t>
      </w:r>
      <w:r w:rsidRPr="0078563F">
        <w:rPr>
          <w:color w:val="000000" w:themeColor="text1"/>
        </w:rPr>
        <w:lastRenderedPageBreak/>
        <w:t>to bridge the gap (Kelley, 2019). Also</w:t>
      </w:r>
      <w:r w:rsidRPr="0078563F">
        <w:rPr>
          <w:i/>
          <w:color w:val="000000" w:themeColor="text1"/>
        </w:rPr>
        <w:t>, i</w:t>
      </w:r>
      <w:r w:rsidRPr="0078563F">
        <w:rPr>
          <w:rStyle w:val="Emphasis"/>
          <w:bCs/>
          <w:i w:val="0"/>
          <w:color w:val="000000" w:themeColor="text1"/>
        </w:rPr>
        <w:t>ncentive programs for new and existing companies in the Illinois economy occupy a central point in defining the economic status of the entire state. Cost of living in Illinois</w:t>
      </w:r>
      <w:r w:rsidRPr="0078563F">
        <w:rPr>
          <w:rStyle w:val="Emphasis"/>
          <w:bCs/>
          <w:color w:val="000000" w:themeColor="text1"/>
        </w:rPr>
        <w:t> </w:t>
      </w:r>
      <w:r w:rsidRPr="0078563F">
        <w:rPr>
          <w:color w:val="000000" w:themeColor="text1"/>
        </w:rPr>
        <w:t>remains to be one of the highest costs of living in than the national average as predicted by Netstate.com. Moreover, </w:t>
      </w:r>
      <w:r w:rsidRPr="0078563F">
        <w:rPr>
          <w:rStyle w:val="Strong"/>
          <w:b w:val="0"/>
          <w:color w:val="000000" w:themeColor="text1"/>
        </w:rPr>
        <w:t>the</w:t>
      </w:r>
      <w:r w:rsidRPr="0078563F">
        <w:rPr>
          <w:rStyle w:val="Strong"/>
          <w:color w:val="000000" w:themeColor="text1"/>
        </w:rPr>
        <w:t xml:space="preserve"> </w:t>
      </w:r>
      <w:r w:rsidRPr="0078563F">
        <w:rPr>
          <w:rStyle w:val="Strong"/>
          <w:b w:val="0"/>
          <w:color w:val="000000" w:themeColor="text1"/>
        </w:rPr>
        <w:t>poverty rate in Illinois region</w:t>
      </w:r>
      <w:r w:rsidRPr="0078563F">
        <w:rPr>
          <w:b/>
          <w:color w:val="000000" w:themeColor="text1"/>
        </w:rPr>
        <w:t> </w:t>
      </w:r>
      <w:r w:rsidRPr="0078563F">
        <w:rPr>
          <w:color w:val="000000" w:themeColor="text1"/>
        </w:rPr>
        <w:t xml:space="preserve">is an essential macroeconomic indicator which defines the level of people's wellness (Kirithiga, </w:t>
      </w:r>
      <w:proofErr w:type="spellStart"/>
      <w:r w:rsidRPr="0078563F">
        <w:rPr>
          <w:color w:val="000000" w:themeColor="text1"/>
        </w:rPr>
        <w:t>Thiyagarajan</w:t>
      </w:r>
      <w:proofErr w:type="spellEnd"/>
      <w:r w:rsidRPr="0078563F">
        <w:rPr>
          <w:color w:val="000000" w:themeColor="text1"/>
        </w:rPr>
        <w:t>, &amp; Naresh, 2019). These critical macroeconomic indicators occupy a focal point in defining the appropriateness of the entire economy. </w:t>
      </w:r>
    </w:p>
    <w:p w14:paraId="53C87EF5" w14:textId="77777777" w:rsidR="0043407C" w:rsidRPr="0078563F" w:rsidRDefault="0043407C" w:rsidP="0043407C">
      <w:pPr>
        <w:pStyle w:val="NormalWeb"/>
        <w:spacing w:before="0" w:beforeAutospacing="0" w:after="0" w:afterAutospacing="0" w:line="480" w:lineRule="auto"/>
        <w:jc w:val="center"/>
        <w:rPr>
          <w:rStyle w:val="Emphasis"/>
          <w:b/>
          <w:bCs/>
          <w:i w:val="0"/>
          <w:color w:val="000000" w:themeColor="text1"/>
        </w:rPr>
      </w:pPr>
    </w:p>
    <w:p w14:paraId="2B31BAF4" w14:textId="77777777" w:rsidR="0043407C" w:rsidRPr="0078563F" w:rsidRDefault="0043407C" w:rsidP="0043407C">
      <w:pPr>
        <w:pStyle w:val="NormalWeb"/>
        <w:spacing w:before="0" w:beforeAutospacing="0" w:after="0" w:afterAutospacing="0" w:line="480" w:lineRule="auto"/>
        <w:jc w:val="center"/>
        <w:rPr>
          <w:color w:val="000000" w:themeColor="text1"/>
        </w:rPr>
      </w:pPr>
      <w:r w:rsidRPr="0078563F">
        <w:rPr>
          <w:rStyle w:val="Emphasis"/>
          <w:b/>
          <w:bCs/>
          <w:i w:val="0"/>
          <w:color w:val="000000" w:themeColor="text1"/>
        </w:rPr>
        <w:t>Significant Economic challenges facing Illinois State</w:t>
      </w:r>
      <w:r w:rsidRPr="0078563F">
        <w:rPr>
          <w:rStyle w:val="Emphasis"/>
          <w:bCs/>
          <w:color w:val="000000" w:themeColor="text1"/>
        </w:rPr>
        <w:t>.</w:t>
      </w:r>
    </w:p>
    <w:p w14:paraId="2DDDDAB0"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 xml:space="preserve">Macroeconomic issues are a real threat to economic wellness to every part of the nation, and hence Illinois area is not exceptional (Mügge, 2016). As evident, Illinois area makes one of the world's greatest and the most diversified economies, and it is attached to major challenges which not only threaten the wellness of Illinois economy but also that of any other economy in the USA. Illinois economy is faced with a total retirement debt of over $200 billion debts accounting from pension and retiree health insurance as well (Kirithiga et al., 2019). The economy lacks affordable housing facilities which transcribe to the added cost to the people of Illinois. There is pressing financial deficits in major industries such as mining and transport sectors, and this leads to significantly reduced GDP. Illinois region is featured with an unbalanced distribution of economic development and hence making it a great challenge to crush the gap amid rich and poor in the entire state. Poor education performance and quality have led to reduced productivity of the education industry and making the state to rely on foreign brains for their hardly created job opportunities (City-Data, 2019). Notably, these essential </w:t>
      </w:r>
      <w:r w:rsidRPr="0078563F">
        <w:rPr>
          <w:color w:val="000000" w:themeColor="text1"/>
        </w:rPr>
        <w:lastRenderedPageBreak/>
        <w:t>microeconomic indicators in the region releases happen on specific dates, which means that traders and investors can prepare for their freedom and the subsequent market volatility.</w:t>
      </w:r>
    </w:p>
    <w:p w14:paraId="331B66AF" w14:textId="77777777" w:rsidR="0043407C" w:rsidRPr="0078563F" w:rsidRDefault="0043407C" w:rsidP="0043407C">
      <w:pPr>
        <w:pStyle w:val="NormalWeb"/>
        <w:spacing w:before="0" w:beforeAutospacing="0" w:after="0" w:afterAutospacing="0" w:line="480" w:lineRule="auto"/>
        <w:jc w:val="center"/>
        <w:rPr>
          <w:color w:val="000000" w:themeColor="text1"/>
        </w:rPr>
      </w:pPr>
      <w:r w:rsidRPr="0078563F">
        <w:rPr>
          <w:rStyle w:val="Emphasis"/>
          <w:b/>
          <w:bCs/>
          <w:color w:val="000000" w:themeColor="text1"/>
        </w:rPr>
        <w:t>Strengths of Illinois Region</w:t>
      </w:r>
    </w:p>
    <w:p w14:paraId="3D3F0BC2"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Illinois region is featured with a diversified factor which makes its economy the best when it comes to business and service provision. As evident, Illinois is endowed with world-class infrastructure such as reliable international and commercial airports (IG.com, 2019). In addition, the region has passable highway systems which provide a perfect connection to the USA major inland ports and waterway ports as well (Kirithiga et al., 2019). Illinois economy has strong target industries which are strong and rapidly growing, and these include finance, infrastructure, information technology, and agriculture and energy sectors among other essential sectors. Illinois has a manageable unemployment rate which has been diminishing gradually towards the recommended levels. There are reduced inflation and increased GDP, which indicates the blooming productivity of the entire economy. Illinois is endowed with bright minds which have boosted levels of invention and innovation in the entire region and hence improved economy's standard.  </w:t>
      </w:r>
    </w:p>
    <w:p w14:paraId="36B2F68E" w14:textId="77777777" w:rsidR="0043407C" w:rsidRPr="0078563F" w:rsidRDefault="0043407C" w:rsidP="0043407C">
      <w:pPr>
        <w:pStyle w:val="NormalWeb"/>
        <w:spacing w:before="0" w:beforeAutospacing="0" w:after="0" w:afterAutospacing="0" w:line="480" w:lineRule="auto"/>
        <w:ind w:firstLine="720"/>
        <w:jc w:val="center"/>
        <w:rPr>
          <w:color w:val="000000" w:themeColor="text1"/>
        </w:rPr>
      </w:pPr>
      <w:r w:rsidRPr="0078563F">
        <w:rPr>
          <w:rStyle w:val="Strong"/>
          <w:color w:val="000000" w:themeColor="text1"/>
        </w:rPr>
        <w:t>Data Collection and Analysis of Data</w:t>
      </w:r>
      <w:r w:rsidRPr="0078563F">
        <w:rPr>
          <w:color w:val="000000" w:themeColor="text1"/>
        </w:rPr>
        <w:t xml:space="preserve">; </w:t>
      </w:r>
      <w:r w:rsidRPr="0078563F">
        <w:rPr>
          <w:rStyle w:val="Strong"/>
          <w:color w:val="000000" w:themeColor="text1"/>
        </w:rPr>
        <w:t>Data Collection</w:t>
      </w:r>
    </w:p>
    <w:p w14:paraId="0AA980B4"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The study relied rely on both primary and secondary data sources while maintaining a critical focus on economic trends of the selected macroeconomic variables within the last five years, that is, from 2014 to 2019. The entire data collection approaches paid superfluous attention to the importance of the most accurate data based on each macroeconomic indicator as it applies in the context of the Illinois economy. The garnered data was as follows: </w:t>
      </w:r>
    </w:p>
    <w:p w14:paraId="23BB2813" w14:textId="5DFD1A98"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 xml:space="preserve">The Illinois Labor force and Unemployment rates reached as high as 12.9% in the year 1982 as a result of the great recession period. A report by the Econlibs.com 2019 asserts that </w:t>
      </w:r>
      <w:r w:rsidRPr="0078563F">
        <w:rPr>
          <w:color w:val="000000" w:themeColor="text1"/>
        </w:rPr>
        <w:lastRenderedPageBreak/>
        <w:t>Illinois unemployment rates have exhibited predictable trends over the past five years. The report affirms that current Illinois unemployment rate records at 3.8% in the last quarter of 2019 as opposed to 3.90% in the third quarter of 2019, and 4.30% in 2018 (Kirithiga et al., 2019). The chart below illustrates the change in unemployment rates in the context of Illinois stretching from 2012 to 2019. </w:t>
      </w:r>
    </w:p>
    <w:p w14:paraId="51F2342D" w14:textId="77777777" w:rsidR="0043407C" w:rsidRPr="0078563F" w:rsidRDefault="0043407C" w:rsidP="0043407C">
      <w:pPr>
        <w:rPr>
          <w:rFonts w:ascii="Times New Roman" w:hAnsi="Times New Roman" w:cs="Times New Roman"/>
          <w:sz w:val="24"/>
          <w:szCs w:val="24"/>
        </w:rPr>
      </w:pPr>
    </w:p>
    <w:p w14:paraId="659589B0" w14:textId="5E7F1E52" w:rsidR="00AF4190" w:rsidRPr="0078563F" w:rsidRDefault="00AF4190" w:rsidP="00093253">
      <w:pPr>
        <w:spacing w:line="240" w:lineRule="auto"/>
        <w:rPr>
          <w:rFonts w:ascii="Times New Roman" w:eastAsia="Times New Roman" w:hAnsi="Times New Roman" w:cs="Times New Roman"/>
          <w:sz w:val="24"/>
          <w:szCs w:val="24"/>
          <w14:textOutline w14:w="9525" w14:cap="rnd" w14:cmpd="sng" w14:algn="ctr">
            <w14:solidFill>
              <w14:schemeClr w14:val="accent1"/>
            </w14:solidFill>
            <w14:prstDash w14:val="solid"/>
            <w14:bevel/>
          </w14:textOutline>
        </w:rPr>
      </w:pPr>
      <w:r w:rsidRPr="0078563F">
        <w:rPr>
          <w:rFonts w:ascii="Times New Roman" w:eastAsia="Times New Roman" w:hAnsi="Times New Roman" w:cs="Times New Roman"/>
          <w:noProof/>
          <w:sz w:val="24"/>
          <w:szCs w:val="24"/>
        </w:rPr>
        <w:drawing>
          <wp:inline distT="0" distB="0" distL="0" distR="0" wp14:anchorId="4DBB07C1" wp14:editId="21C5D31E">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B9B51BE" w14:textId="77777777" w:rsidR="0043407C" w:rsidRPr="0078563F" w:rsidRDefault="0043407C" w:rsidP="0043407C">
      <w:pPr>
        <w:spacing w:line="480" w:lineRule="auto"/>
        <w:rPr>
          <w:rFonts w:ascii="Times New Roman" w:hAnsi="Times New Roman" w:cs="Times New Roman"/>
          <w:color w:val="000000" w:themeColor="text1"/>
          <w:sz w:val="24"/>
          <w:szCs w:val="24"/>
        </w:rPr>
      </w:pPr>
      <w:r w:rsidRPr="0078563F">
        <w:rPr>
          <w:rFonts w:ascii="Times New Roman" w:hAnsi="Times New Roman" w:cs="Times New Roman"/>
          <w:color w:val="000000" w:themeColor="text1"/>
          <w:sz w:val="24"/>
          <w:szCs w:val="24"/>
        </w:rPr>
        <w:t>Fig 1.1</w:t>
      </w:r>
    </w:p>
    <w:p w14:paraId="609B9A19" w14:textId="77777777" w:rsidR="0043407C" w:rsidRPr="0078563F" w:rsidRDefault="0043407C" w:rsidP="0043407C">
      <w:pPr>
        <w:spacing w:line="480" w:lineRule="auto"/>
        <w:rPr>
          <w:rFonts w:ascii="Times New Roman" w:hAnsi="Times New Roman" w:cs="Times New Roman"/>
          <w:color w:val="000000" w:themeColor="text1"/>
          <w:sz w:val="24"/>
          <w:szCs w:val="24"/>
        </w:rPr>
      </w:pPr>
    </w:p>
    <w:p w14:paraId="4C739423" w14:textId="77777777" w:rsidR="0043407C" w:rsidRPr="0078563F" w:rsidRDefault="0043407C" w:rsidP="0043407C">
      <w:pPr>
        <w:spacing w:line="480" w:lineRule="auto"/>
        <w:ind w:firstLine="720"/>
        <w:rPr>
          <w:rFonts w:ascii="Times New Roman" w:hAnsi="Times New Roman" w:cs="Times New Roman"/>
          <w:color w:val="000000" w:themeColor="text1"/>
          <w:sz w:val="24"/>
          <w:szCs w:val="24"/>
        </w:rPr>
      </w:pPr>
      <w:r w:rsidRPr="0078563F">
        <w:rPr>
          <w:rFonts w:ascii="Times New Roman" w:hAnsi="Times New Roman" w:cs="Times New Roman"/>
          <w:color w:val="000000" w:themeColor="text1"/>
          <w:sz w:val="24"/>
          <w:szCs w:val="24"/>
        </w:rPr>
        <w:t xml:space="preserve">According to the Bureau of Economic Analysis (BEA) (2019), Illinois has been featured with one of the most promising Gross Domestic Product (GDP) in the US. As stated by BEA, Illinois GDP amounted to $692 billion in 2016. According to BEA data, Illinois GDP represents about 4.24% of the US GDP, and it marks to be the 5th largest state economy in the US. BEA data illustrates that the current dollar GDP in Illinois had increased by 4.6% (approximately </w:t>
      </w:r>
      <w:r w:rsidRPr="0078563F">
        <w:rPr>
          <w:rFonts w:ascii="Times New Roman" w:hAnsi="Times New Roman" w:cs="Times New Roman"/>
          <w:color w:val="000000" w:themeColor="text1"/>
          <w:sz w:val="24"/>
          <w:szCs w:val="24"/>
        </w:rPr>
        <w:lastRenderedPageBreak/>
        <w:t>$239.1 billion) in the second quarter of 2019 to $21.34 trillion. The data below illustrates change Illinois Real GDP percentage change from the preceding quarter stretching from 2016 to 2019.</w:t>
      </w:r>
    </w:p>
    <w:p w14:paraId="0906E181" w14:textId="77777777" w:rsidR="0043407C" w:rsidRPr="0078563F" w:rsidRDefault="0043407C" w:rsidP="0043407C">
      <w:pPr>
        <w:spacing w:line="480" w:lineRule="auto"/>
        <w:ind w:firstLine="720"/>
        <w:rPr>
          <w:rFonts w:ascii="Times New Roman" w:hAnsi="Times New Roman" w:cs="Times New Roman"/>
          <w:color w:val="000000" w:themeColor="text1"/>
          <w:sz w:val="24"/>
          <w:szCs w:val="24"/>
        </w:rPr>
      </w:pPr>
    </w:p>
    <w:p w14:paraId="6805BCB8" w14:textId="77777777" w:rsidR="0043407C" w:rsidRPr="0078563F" w:rsidRDefault="0043407C" w:rsidP="0043407C">
      <w:pPr>
        <w:spacing w:line="480" w:lineRule="auto"/>
        <w:ind w:firstLine="720"/>
        <w:rPr>
          <w:rFonts w:ascii="Times New Roman" w:hAnsi="Times New Roman" w:cs="Times New Roman"/>
          <w:color w:val="000000" w:themeColor="text1"/>
          <w:sz w:val="24"/>
          <w:szCs w:val="24"/>
        </w:rPr>
      </w:pPr>
    </w:p>
    <w:p w14:paraId="3F25DB26" w14:textId="77777777" w:rsidR="0043407C" w:rsidRPr="0078563F" w:rsidRDefault="0043407C" w:rsidP="0043407C">
      <w:pPr>
        <w:spacing w:line="480" w:lineRule="auto"/>
        <w:ind w:firstLine="720"/>
        <w:rPr>
          <w:rFonts w:ascii="Times New Roman" w:hAnsi="Times New Roman" w:cs="Times New Roman"/>
          <w:color w:val="000000" w:themeColor="text1"/>
          <w:sz w:val="24"/>
          <w:szCs w:val="24"/>
        </w:rPr>
      </w:pPr>
    </w:p>
    <w:p w14:paraId="2A5527C2" w14:textId="77777777" w:rsidR="0043407C" w:rsidRPr="0078563F" w:rsidRDefault="0043407C" w:rsidP="0043407C">
      <w:pPr>
        <w:spacing w:line="480" w:lineRule="auto"/>
        <w:ind w:firstLine="720"/>
        <w:rPr>
          <w:rFonts w:ascii="Times New Roman" w:hAnsi="Times New Roman" w:cs="Times New Roman"/>
          <w:color w:val="000000" w:themeColor="text1"/>
          <w:sz w:val="24"/>
          <w:szCs w:val="24"/>
        </w:rPr>
      </w:pPr>
    </w:p>
    <w:p w14:paraId="1FE306FC" w14:textId="77777777" w:rsidR="0043407C" w:rsidRPr="0078563F" w:rsidRDefault="0043407C" w:rsidP="0043407C">
      <w:pPr>
        <w:spacing w:line="480" w:lineRule="auto"/>
        <w:ind w:firstLine="720"/>
        <w:rPr>
          <w:rFonts w:ascii="Times New Roman" w:hAnsi="Times New Roman" w:cs="Times New Roman"/>
          <w:color w:val="000000" w:themeColor="text1"/>
          <w:sz w:val="24"/>
          <w:szCs w:val="24"/>
        </w:rPr>
      </w:pPr>
    </w:p>
    <w:p w14:paraId="638FAC4A" w14:textId="77777777" w:rsidR="0043407C" w:rsidRPr="0078563F" w:rsidRDefault="0043407C" w:rsidP="0043407C">
      <w:pPr>
        <w:spacing w:line="480" w:lineRule="auto"/>
        <w:ind w:firstLine="720"/>
        <w:rPr>
          <w:rFonts w:ascii="Times New Roman" w:eastAsia="Times New Roman" w:hAnsi="Times New Roman" w:cs="Times New Roman"/>
          <w:color w:val="000000" w:themeColor="text1"/>
          <w:sz w:val="24"/>
          <w:szCs w:val="24"/>
          <w14:textOutline w14:w="9525" w14:cap="rnd" w14:cmpd="sng" w14:algn="ctr">
            <w14:solidFill>
              <w14:schemeClr w14:val="accent1"/>
            </w14:solidFill>
            <w14:prstDash w14:val="solid"/>
            <w14:bevel/>
          </w14:textOutline>
        </w:rPr>
      </w:pPr>
      <w:r w:rsidRPr="0078563F">
        <w:rPr>
          <w:rFonts w:ascii="Times New Roman" w:eastAsia="Times New Roman" w:hAnsi="Times New Roman" w:cs="Times New Roman"/>
          <w:noProof/>
          <w:color w:val="000000" w:themeColor="text1"/>
          <w:sz w:val="24"/>
          <w:szCs w:val="24"/>
        </w:rPr>
        <w:drawing>
          <wp:inline distT="0" distB="0" distL="0" distR="0" wp14:anchorId="3316BC21" wp14:editId="0A3C1582">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78563F">
        <w:rPr>
          <w:rFonts w:ascii="Times New Roman" w:hAnsi="Times New Roman" w:cs="Times New Roman"/>
          <w:color w:val="000000" w:themeColor="text1"/>
          <w:sz w:val="24"/>
          <w:szCs w:val="24"/>
        </w:rPr>
        <w:t xml:space="preserve"> </w:t>
      </w:r>
    </w:p>
    <w:p w14:paraId="19D17C4F" w14:textId="77777777" w:rsidR="0043407C" w:rsidRPr="0078563F" w:rsidRDefault="0043407C" w:rsidP="0043407C">
      <w:pPr>
        <w:spacing w:line="480" w:lineRule="auto"/>
        <w:ind w:left="720"/>
        <w:rPr>
          <w:rFonts w:ascii="Times New Roman" w:eastAsia="Times New Roman" w:hAnsi="Times New Roman" w:cs="Times New Roman"/>
          <w:color w:val="000000" w:themeColor="text1"/>
          <w:sz w:val="24"/>
          <w:szCs w:val="24"/>
          <w14:textOutline w14:w="9525" w14:cap="rnd" w14:cmpd="sng" w14:algn="ctr">
            <w14:noFill/>
            <w14:prstDash w14:val="solid"/>
            <w14:bevel/>
          </w14:textOutline>
        </w:rPr>
      </w:pPr>
      <w:r w:rsidRPr="0078563F">
        <w:rPr>
          <w:rFonts w:ascii="Times New Roman" w:eastAsia="Times New Roman" w:hAnsi="Times New Roman" w:cs="Times New Roman"/>
          <w:color w:val="000000" w:themeColor="text1"/>
          <w:sz w:val="24"/>
          <w:szCs w:val="24"/>
          <w14:textOutline w14:w="9525" w14:cap="rnd" w14:cmpd="sng" w14:algn="ctr">
            <w14:noFill/>
            <w14:prstDash w14:val="solid"/>
            <w14:bevel/>
          </w14:textOutline>
        </w:rPr>
        <w:t>Fig 1.2</w:t>
      </w:r>
    </w:p>
    <w:p w14:paraId="149AABFB"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From another point of view, the i</w:t>
      </w:r>
      <w:r w:rsidRPr="0078563F">
        <w:rPr>
          <w:rStyle w:val="Emphasis"/>
          <w:bCs/>
          <w:i w:val="0"/>
          <w:color w:val="000000" w:themeColor="text1"/>
        </w:rPr>
        <w:t xml:space="preserve">ncentive programs for new and existing companies in the Illinois economy occupies a central position in defining the region’s economic status. Illinois is featured with several economic development incentives to businesses. Illinois state government mandates businesses to consult with their commercial real estate broker to evaluate </w:t>
      </w:r>
      <w:r w:rsidRPr="0078563F">
        <w:rPr>
          <w:rStyle w:val="Emphasis"/>
          <w:bCs/>
          <w:i w:val="0"/>
          <w:color w:val="000000" w:themeColor="text1"/>
        </w:rPr>
        <w:lastRenderedPageBreak/>
        <w:t>the outstanding and desired qualifications for the outlined programs. According to the BEA report 2019, Illinois provides the most effective support to the interested investors. Through the Community Development Assistance Program for Economic Development, Illinois offers substantial grants and affordable loans to interested investors. Illinois High Impact Business (HIB) program is strategized to encourage large scale economic development activities through providing tax incentives to all companies while proposing substantial in addition to job-creating capital investments. The HIB program entails at least $12 million investments each year. Illinois aims to ensure retention of over 1500 full-time jobs in Illinois enterprise Zone.</w:t>
      </w:r>
    </w:p>
    <w:p w14:paraId="0CC48864"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rStyle w:val="Emphasis"/>
          <w:bCs/>
          <w:i w:val="0"/>
          <w:color w:val="000000" w:themeColor="text1"/>
        </w:rPr>
        <w:t>Cost of living is another essential microeconomic factor in the Illinois economy. According to Statista, the cost of living in Illinois is lower than the national coverage. Statista reports that the state of Illinois salaries averages at $56,447, which shares an implication that the Illinois pay rate is slightly higher than the U.S. average annual salary, which sticks at $2,800. Illinois has a consumer price index (CPI) of over 240, an amount which is 0.40% lower than the U.S. city average CPI. The state’s sales tax is 6.25%. </w:t>
      </w:r>
    </w:p>
    <w:p w14:paraId="6AB10D63"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rStyle w:val="Emphasis"/>
          <w:bCs/>
          <w:i w:val="0"/>
          <w:color w:val="000000" w:themeColor="text1"/>
        </w:rPr>
        <w:t>Illinois poverty rate is 13.5% (</w:t>
      </w:r>
      <w:r w:rsidRPr="0078563F">
        <w:rPr>
          <w:color w:val="000000" w:themeColor="text1"/>
        </w:rPr>
        <w:t>CMAP, 2019)</w:t>
      </w:r>
      <w:r w:rsidRPr="0078563F">
        <w:rPr>
          <w:rStyle w:val="Emphasis"/>
          <w:bCs/>
          <w:i w:val="0"/>
          <w:color w:val="000000" w:themeColor="text1"/>
        </w:rPr>
        <w:t>. Studies have defended that four residents in very seven resident of Illinois live below the poverty line. Moreover, 1.6 million of 12.5 million residents of Illinois lived below the poverty line in 2018. As outlined in the poverty ranking by state, Illinois ranks 24th in poverty rate at 13.5%. According to BEA data, the poverty rate of Illinois is slightly lower than the national average of 14.6%. Poverty Rate disparity for gender, female residents are 20% more likely to lag in poverty as opposed to males in Illinois. </w:t>
      </w:r>
    </w:p>
    <w:p w14:paraId="255B7D7C"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rStyle w:val="Emphasis"/>
          <w:bCs/>
          <w:i w:val="0"/>
          <w:color w:val="000000" w:themeColor="text1"/>
        </w:rPr>
        <w:t xml:space="preserve"> Interest rates in Illinois is another critical macroeconomic indicator in the context of Illinois. Interest rates imply the amount of interest due per period as a percentage of the proportion of the amount lent, deposited, in as well as borrow. Research by Smartasset.com </w:t>
      </w:r>
      <w:r w:rsidRPr="0078563F">
        <w:rPr>
          <w:rStyle w:val="Emphasis"/>
          <w:bCs/>
          <w:i w:val="0"/>
          <w:color w:val="000000" w:themeColor="text1"/>
        </w:rPr>
        <w:lastRenderedPageBreak/>
        <w:t>(2019) indicates that Illinois mortgages rates have been maintained as low as possible for increased benefits.</w:t>
      </w:r>
    </w:p>
    <w:p w14:paraId="41E9D4D0" w14:textId="77777777" w:rsidR="0043407C" w:rsidRPr="0078563F" w:rsidRDefault="0043407C" w:rsidP="0043407C">
      <w:pPr>
        <w:pStyle w:val="NormalWeb"/>
        <w:spacing w:before="0" w:beforeAutospacing="0" w:after="0" w:afterAutospacing="0" w:line="480" w:lineRule="auto"/>
        <w:jc w:val="center"/>
        <w:rPr>
          <w:color w:val="000000" w:themeColor="text1"/>
        </w:rPr>
      </w:pPr>
      <w:r w:rsidRPr="0078563F">
        <w:rPr>
          <w:rStyle w:val="Emphasis"/>
          <w:b/>
          <w:bCs/>
          <w:i w:val="0"/>
          <w:color w:val="000000" w:themeColor="text1"/>
        </w:rPr>
        <w:t>Data Analysis</w:t>
      </w:r>
    </w:p>
    <w:p w14:paraId="42961670"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The above data describes Illinois as a state with substantial economic roots which remains enjoyable to the state and the nation at large. BEA data conceded that the Illinois economy had been in a position to reap the best from its reliable endowments. According to BEA (2019), unemployment has ever been a challenge in the context of Illinois. However, in the recent past, the Illinois economy had depicted accommodative trends in crushing unemployment amid its people. IG.com (2019) reports that Illinois unemployment rates recorded at 3.8% in the last quarter of 2019 as opposed to 3.60% in the third quarter of 2019, and 4.30% in the 2018 </w:t>
      </w:r>
      <w:r w:rsidRPr="0078563F">
        <w:rPr>
          <w:rStyle w:val="Emphasis"/>
          <w:b/>
          <w:bCs/>
          <w:i w:val="0"/>
          <w:color w:val="000000" w:themeColor="text1"/>
        </w:rPr>
        <w:t>(</w:t>
      </w:r>
      <w:r w:rsidRPr="0078563F">
        <w:rPr>
          <w:color w:val="000000" w:themeColor="text1"/>
        </w:rPr>
        <w:t>Golden Group, 2019). This data shares a clear indication that Illinois appreciates that fact that unemployment is a real challenge to any economy and hence effort must be made to reduce unemployment into reliable levels. However, the nation is facing challenges in reducing unemployment to 2% or bellow due to other economic features such as seasonality in production and insufficient budgetary allocation from both state and federal government.</w:t>
      </w:r>
    </w:p>
    <w:p w14:paraId="12E7AF97"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In support with Bureau of Economic Analysis (BEA) (2019) report, Illinois has been featured with one of the most promising Gross Domestic Product (GDP) in the U.S. Illinois GDP represents about 4.24% of the U.S. GDP and it marks to be the 5th largest state economies in the entire nations. BEA data illustrates that the current dollar GDP in Illinois had increased by 4.6% (approximately $239.1 billion) in the second quarter of 2019 to $21.34 trillion. There is no doubt that the GDP of the Illinois economy will shoot in the near future </w:t>
      </w:r>
      <w:r w:rsidRPr="0078563F">
        <w:rPr>
          <w:rStyle w:val="Emphasis"/>
          <w:b/>
          <w:bCs/>
          <w:i w:val="0"/>
          <w:color w:val="000000" w:themeColor="text1"/>
        </w:rPr>
        <w:t>(</w:t>
      </w:r>
      <w:r w:rsidRPr="0078563F">
        <w:rPr>
          <w:color w:val="000000" w:themeColor="text1"/>
        </w:rPr>
        <w:t xml:space="preserve">Golden Group, 2019. The economy is endowed with a great opportunity to enhance productivity by attracting foreigner. </w:t>
      </w:r>
      <w:r w:rsidRPr="0078563F">
        <w:rPr>
          <w:color w:val="000000" w:themeColor="text1"/>
        </w:rPr>
        <w:lastRenderedPageBreak/>
        <w:t>The population of Illinois State is on the verge of doubling, and hence the nation is likely to encounter direct market for domestically produced products. </w:t>
      </w:r>
    </w:p>
    <w:p w14:paraId="5D47F2B8" w14:textId="77777777" w:rsidR="0043407C" w:rsidRPr="0078563F" w:rsidRDefault="0043407C" w:rsidP="0043407C">
      <w:pPr>
        <w:pStyle w:val="NormalWeb"/>
        <w:spacing w:after="0" w:line="480" w:lineRule="auto"/>
        <w:ind w:firstLine="720"/>
        <w:rPr>
          <w:color w:val="000000" w:themeColor="text1"/>
        </w:rPr>
      </w:pPr>
      <w:r w:rsidRPr="0078563F">
        <w:rPr>
          <w:color w:val="000000" w:themeColor="text1"/>
        </w:rPr>
        <w:t xml:space="preserve">Illinois state government has been at the forefront in fixing the evident economies issues through adopting incentive programs for new and existing companies in the Illinois economy. According to the BEA report 2019, Illinois provides the most effective support to the interested investors. Through the Community Development Assistance Program for Economic Development, Illinois offers substantial grants and affordable loans to interested investors (Golden Group, 2019). Through the HIB program, the Illinois economy is aimed to raise at least $12 million in investments. Illinois seeks to ensure retention of over 1500 full-time jobs in Illinois enterprise Zone (Bureau of Economic Analysis, 2019). This initiative has double-ended benefits in that is it will create reliable employment opportunities for Illinois residents and boost economic productivity through promoting Illinois GDP by encouraging domestic production. The major challenge affiliated with this macroeconomic indicator is that there is limited freedom of entry in the state’s economy and hence some mega investees remain to be expensive and unprofitable per se. </w:t>
      </w:r>
    </w:p>
    <w:p w14:paraId="2C3765E5" w14:textId="77777777" w:rsidR="0043407C" w:rsidRPr="0078563F" w:rsidRDefault="0043407C" w:rsidP="0043407C">
      <w:pPr>
        <w:pStyle w:val="NormalWeb"/>
        <w:spacing w:after="0" w:line="480" w:lineRule="auto"/>
        <w:ind w:firstLine="720"/>
        <w:rPr>
          <w:color w:val="000000" w:themeColor="text1"/>
        </w:rPr>
      </w:pPr>
      <w:r w:rsidRPr="0078563F">
        <w:rPr>
          <w:color w:val="000000" w:themeColor="text1"/>
        </w:rPr>
        <w:t xml:space="preserve">According to the Bureau of Economic Analysis (2019), the cost of living in Illinois is lower than the national coverage. BEA (2019) reports that the state of Illinois salaries averages at $56,447, which shares an implication that the Illinois pay rate is slightly higher than the U.S. average annual salary which sticks at $2,800. Illinois has a consumer price index (CPI) of over 240, an amount which is 0.40% lower than the U.S. city average CPI. The state’s sales tax is 6.25%. There is a clear indication that Illinois has got the most top-ranking cost of living. There </w:t>
      </w:r>
      <w:r w:rsidRPr="0078563F">
        <w:rPr>
          <w:color w:val="000000" w:themeColor="text1"/>
        </w:rPr>
        <w:lastRenderedPageBreak/>
        <w:t xml:space="preserve">is an increased cost of goods and services, and aspect which calls for increased wages and salaries to enable people to withstand the cost of their daily expenses. </w:t>
      </w:r>
    </w:p>
    <w:p w14:paraId="644CCEFE" w14:textId="77777777" w:rsidR="0043407C" w:rsidRPr="0078563F" w:rsidRDefault="0043407C" w:rsidP="0043407C">
      <w:pPr>
        <w:pStyle w:val="NormalWeb"/>
        <w:spacing w:after="0" w:line="480" w:lineRule="auto"/>
        <w:ind w:firstLine="720"/>
        <w:rPr>
          <w:color w:val="000000" w:themeColor="text1"/>
        </w:rPr>
      </w:pPr>
      <w:r w:rsidRPr="0078563F">
        <w:rPr>
          <w:color w:val="000000" w:themeColor="text1"/>
        </w:rPr>
        <w:t xml:space="preserve">Illinois poverty rate is 13.5%. Studies have defended that four residents in very seven residents of Illinois live below the poverty line. According to BEA data, the poverty rate of Illinois is slightly lower than the national average of 14.6% (Bureau of Economic Analysis, 2019). Poverty Rate disparity for gender, female residents are 20% more likely to lag in poverty as opposed to males in Illinois. There is no doubt that poverty is a real challenge in the context of Illinois. Majority of residents are living below the poverty line, and they remain to be dependents to those who are able (Bureau of Economic Analysis, 2019). The major challenge attached to poverty is the doubling population in Illinois, which makes it hard to cross the gap between the rich and the poor in the entire state. Interest rates in Illinois is another critical macroeconomic indicator. Through manageable and reasonable interest rates, the Illinois economy has attracted the interest of many investors and hence opening the chance for them to acquire cheap loans for improved returns. </w:t>
      </w:r>
    </w:p>
    <w:p w14:paraId="71ADC714" w14:textId="77777777" w:rsidR="0043407C" w:rsidRPr="0078563F" w:rsidRDefault="0043407C" w:rsidP="0043407C">
      <w:pPr>
        <w:pStyle w:val="NormalWeb"/>
        <w:spacing w:after="0" w:line="480" w:lineRule="auto"/>
        <w:jc w:val="center"/>
        <w:rPr>
          <w:b/>
          <w:color w:val="000000" w:themeColor="text1"/>
        </w:rPr>
      </w:pPr>
      <w:r w:rsidRPr="0078563F">
        <w:rPr>
          <w:b/>
          <w:color w:val="000000" w:themeColor="text1"/>
        </w:rPr>
        <w:t>Findings</w:t>
      </w:r>
    </w:p>
    <w:p w14:paraId="32BB3E2E" w14:textId="77777777" w:rsidR="0043407C" w:rsidRPr="0078563F" w:rsidRDefault="0043407C" w:rsidP="0043407C">
      <w:pPr>
        <w:pStyle w:val="NormalWeb"/>
        <w:spacing w:after="0" w:line="480" w:lineRule="auto"/>
        <w:ind w:firstLine="720"/>
        <w:rPr>
          <w:color w:val="000000" w:themeColor="text1"/>
        </w:rPr>
      </w:pPr>
      <w:r w:rsidRPr="0078563F">
        <w:rPr>
          <w:color w:val="000000" w:themeColor="text1"/>
        </w:rPr>
        <w:t xml:space="preserve">Based on the above analysis, it is true that Illinois economy is one among the most promising economies in the U.S., and it stands to be supported through maximization of benefits attached to it macroeconomic indicators. Illinois economy is featured with a high level of the poverty rate. Reports have shown that female is more likely to live below the poverty line than men since employment opportunities are provided through inequality. </w:t>
      </w:r>
    </w:p>
    <w:p w14:paraId="544D448D" w14:textId="77777777" w:rsidR="0043407C" w:rsidRPr="0078563F" w:rsidRDefault="0043407C" w:rsidP="0043407C">
      <w:pPr>
        <w:pStyle w:val="NormalWeb"/>
        <w:spacing w:after="0" w:line="480" w:lineRule="auto"/>
        <w:ind w:firstLine="720"/>
        <w:rPr>
          <w:color w:val="000000" w:themeColor="text1"/>
        </w:rPr>
      </w:pPr>
      <w:r w:rsidRPr="0078563F">
        <w:rPr>
          <w:color w:val="000000" w:themeColor="text1"/>
        </w:rPr>
        <w:lastRenderedPageBreak/>
        <w:t xml:space="preserve">Another finding is that Illinois state government has made tremendous efforts to enhance economic development by adopting quite predictive incentive programs for both local and foreign investors into the economy. It is also true that these incentives are meant to maintain as well as ensure positive movement of the entire economy. </w:t>
      </w:r>
    </w:p>
    <w:p w14:paraId="784E7894"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Cost of living has been increasing on a daily basis, and it is likely to cause poor living standards of the people in the near future. This microeconomic indicator is quite predictive to the future of the Illinois economy, and hence it calls for serious interventions. It is quite evident that the GDP has observed a positive trend. However, the majority of the sate organization relies on automated power in production, and this makes it hard to reduce unemployment to the anticipated levels. The Illinois economy looks appealing to the majority of investors due to the reduced interest rates. Investors and major economy stakeholders are in a position to benefits from cheap loans. Investment has been made possible through. </w:t>
      </w:r>
    </w:p>
    <w:p w14:paraId="7574BA5A" w14:textId="77777777" w:rsidR="0043407C" w:rsidRPr="0078563F" w:rsidRDefault="0043407C" w:rsidP="0043407C">
      <w:pPr>
        <w:pStyle w:val="NormalWeb"/>
        <w:spacing w:before="0" w:beforeAutospacing="0" w:after="0" w:afterAutospacing="0" w:line="480" w:lineRule="auto"/>
        <w:jc w:val="center"/>
        <w:rPr>
          <w:b/>
          <w:color w:val="000000" w:themeColor="text1"/>
        </w:rPr>
      </w:pPr>
      <w:r w:rsidRPr="0078563F">
        <w:rPr>
          <w:b/>
          <w:color w:val="000000" w:themeColor="text1"/>
        </w:rPr>
        <w:t>Solutions</w:t>
      </w:r>
    </w:p>
    <w:p w14:paraId="1A1E00D0"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Illinois economy is one of the greatest contributors to the success of the U.S. economy. It macroeconomic indicators are quite predictive to the future Illinois economy. There is a need to address the evident challenges for enhancing the prosperity of the entire economy. Herein, the Illinois state government must take the initiative to eradicate the alarming poverty rate amid its people by ensuring gender equality in employment provision. The government should consider initiation of the community-based project, which will provide employment opportunities to the unemployed in the community and hence addressing poverty. </w:t>
      </w:r>
    </w:p>
    <w:p w14:paraId="285529E3" w14:textId="7FD02D05"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 xml:space="preserve"> The unemployment rate remains at 3.6% according to BEA data. To ensure reduced unemployment rate, Illinois should never overlook the importance of addressing the affiliated risks. It has been noted that unemployment is mainly facilitated by increased illiteracy since </w:t>
      </w:r>
      <w:r w:rsidRPr="0078563F">
        <w:rPr>
          <w:color w:val="000000" w:themeColor="text1"/>
        </w:rPr>
        <w:lastRenderedPageBreak/>
        <w:t xml:space="preserve">many people find it hard to secure available job opportunities due to lack of adequate knowledge. Herein, the government should diversify education opportunities at all levels to address unemployment in the long run. Illinois should also encourage the use of </w:t>
      </w:r>
      <w:proofErr w:type="spellStart"/>
      <w:r w:rsidRPr="0078563F">
        <w:rPr>
          <w:color w:val="000000" w:themeColor="text1"/>
        </w:rPr>
        <w:t>labour-intensive</w:t>
      </w:r>
      <w:proofErr w:type="spellEnd"/>
      <w:r w:rsidRPr="0078563F">
        <w:rPr>
          <w:color w:val="000000" w:themeColor="text1"/>
        </w:rPr>
        <w:t xml:space="preserve"> modes of production so as to ensure employment opportunities for those who are willing and able to work. Illinois state government should consider the effectiveness of reduced and enticing interest rate and properly planned incentive programs. These initiatives will have an effect of boosting GDP and ensuring economic stability.  </w:t>
      </w:r>
    </w:p>
    <w:p w14:paraId="6634B9DC" w14:textId="77777777" w:rsidR="0043407C" w:rsidRPr="0078563F" w:rsidRDefault="0043407C" w:rsidP="0043407C">
      <w:pPr>
        <w:pStyle w:val="NormalWeb"/>
        <w:spacing w:before="0" w:beforeAutospacing="0" w:after="0" w:afterAutospacing="0" w:line="480" w:lineRule="auto"/>
        <w:jc w:val="center"/>
        <w:rPr>
          <w:color w:val="000000" w:themeColor="text1"/>
        </w:rPr>
      </w:pPr>
      <w:r w:rsidRPr="0078563F">
        <w:rPr>
          <w:rStyle w:val="Strong"/>
          <w:color w:val="000000" w:themeColor="text1"/>
        </w:rPr>
        <w:t>Conclusion</w:t>
      </w:r>
    </w:p>
    <w:p w14:paraId="0FCB294E" w14:textId="77777777" w:rsidR="0043407C" w:rsidRPr="0078563F" w:rsidRDefault="0043407C" w:rsidP="0043407C">
      <w:pPr>
        <w:pStyle w:val="NormalWeb"/>
        <w:spacing w:before="0" w:beforeAutospacing="0" w:after="0" w:afterAutospacing="0" w:line="480" w:lineRule="auto"/>
        <w:ind w:firstLine="720"/>
        <w:rPr>
          <w:color w:val="000000" w:themeColor="text1"/>
        </w:rPr>
      </w:pPr>
      <w:r w:rsidRPr="0078563F">
        <w:rPr>
          <w:color w:val="000000" w:themeColor="text1"/>
        </w:rPr>
        <w:t xml:space="preserve">In summation, the Illinois economy is one of the best pillars of the USA economy. Macroeconomic factors in Illinois form the basis for an increasingly high technology economy. Macroeconomic indicators such as cost of living, interest rates, poverty rate, unemployment rates, incentive programs, GDP, and major industries share the vocal point of understanding of the entire economy (IG.com, 2019). All economic entities in the Illinois region and in the entre USA should pay attention to the effectiveness of macroeconomic indicators and make an effort towards maximization. Illinois economy should embrace the importance of the </w:t>
      </w:r>
      <w:proofErr w:type="spellStart"/>
      <w:r w:rsidRPr="0078563F">
        <w:rPr>
          <w:color w:val="000000" w:themeColor="text1"/>
        </w:rPr>
        <w:t>labour-intensive</w:t>
      </w:r>
      <w:proofErr w:type="spellEnd"/>
      <w:r w:rsidRPr="0078563F">
        <w:rPr>
          <w:color w:val="000000" w:themeColor="text1"/>
        </w:rPr>
        <w:t xml:space="preserve"> economy, properly planned incentive programs, and appealing interest rates. It is worth to assert that the Illinois economy stands with its own strengths and weaknesses. </w:t>
      </w:r>
    </w:p>
    <w:p w14:paraId="7FFC5CE4" w14:textId="77777777" w:rsidR="0043407C" w:rsidRPr="0078563F" w:rsidRDefault="0043407C" w:rsidP="0043407C">
      <w:pPr>
        <w:spacing w:line="480" w:lineRule="auto"/>
        <w:ind w:firstLine="720"/>
        <w:rPr>
          <w:rFonts w:ascii="Times New Roman" w:eastAsia="Times New Roman" w:hAnsi="Times New Roman" w:cs="Times New Roman"/>
          <w:color w:val="000000" w:themeColor="text1"/>
          <w:sz w:val="24"/>
          <w:szCs w:val="24"/>
          <w14:textOutline w14:w="9525" w14:cap="rnd" w14:cmpd="sng" w14:algn="ctr">
            <w14:noFill/>
            <w14:prstDash w14:val="solid"/>
            <w14:bevel/>
          </w14:textOutline>
        </w:rPr>
      </w:pPr>
    </w:p>
    <w:p w14:paraId="0F848294" w14:textId="77777777" w:rsidR="0043407C" w:rsidRPr="0078563F" w:rsidRDefault="0043407C" w:rsidP="0043407C">
      <w:pPr>
        <w:spacing w:line="480" w:lineRule="auto"/>
        <w:ind w:firstLine="720"/>
        <w:rPr>
          <w:rFonts w:ascii="Times New Roman" w:eastAsia="Times New Roman" w:hAnsi="Times New Roman" w:cs="Times New Roman"/>
          <w:i/>
          <w:color w:val="000000" w:themeColor="text1"/>
          <w:sz w:val="24"/>
          <w:szCs w:val="24"/>
          <w14:textOutline w14:w="9525" w14:cap="rnd" w14:cmpd="sng" w14:algn="ctr">
            <w14:noFill/>
            <w14:prstDash w14:val="solid"/>
            <w14:bevel/>
          </w14:textOutline>
        </w:rPr>
      </w:pPr>
    </w:p>
    <w:p w14:paraId="69922308" w14:textId="77777777" w:rsidR="0043407C" w:rsidRPr="0078563F" w:rsidRDefault="0043407C" w:rsidP="0043407C">
      <w:pPr>
        <w:spacing w:line="480" w:lineRule="auto"/>
        <w:rPr>
          <w:rFonts w:ascii="Times New Roman" w:eastAsia="Times New Roman" w:hAnsi="Times New Roman" w:cs="Times New Roman"/>
          <w:color w:val="000000" w:themeColor="text1"/>
          <w:sz w:val="24"/>
          <w:szCs w:val="24"/>
          <w14:textOutline w14:w="9525" w14:cap="rnd" w14:cmpd="sng" w14:algn="ctr">
            <w14:noFill/>
            <w14:prstDash w14:val="solid"/>
            <w14:bevel/>
          </w14:textOutline>
        </w:rPr>
      </w:pPr>
    </w:p>
    <w:p w14:paraId="2656DDBF" w14:textId="77777777" w:rsidR="0043407C" w:rsidRPr="0078563F" w:rsidRDefault="0043407C" w:rsidP="0043407C">
      <w:pPr>
        <w:spacing w:line="480" w:lineRule="auto"/>
        <w:rPr>
          <w:rFonts w:ascii="Times New Roman" w:eastAsia="Times New Roman" w:hAnsi="Times New Roman" w:cs="Times New Roman"/>
          <w:color w:val="000000" w:themeColor="text1"/>
          <w:sz w:val="24"/>
          <w:szCs w:val="24"/>
          <w14:textOutline w14:w="9525" w14:cap="rnd" w14:cmpd="sng" w14:algn="ctr">
            <w14:noFill/>
            <w14:prstDash w14:val="solid"/>
            <w14:bevel/>
          </w14:textOutline>
        </w:rPr>
      </w:pPr>
    </w:p>
    <w:p w14:paraId="7A359163" w14:textId="77777777" w:rsidR="0043407C" w:rsidRPr="0078563F" w:rsidRDefault="0043407C" w:rsidP="0043407C">
      <w:pPr>
        <w:spacing w:line="480" w:lineRule="auto"/>
        <w:rPr>
          <w:rFonts w:ascii="Times New Roman" w:eastAsia="Times New Roman" w:hAnsi="Times New Roman" w:cs="Times New Roman"/>
          <w:color w:val="000000" w:themeColor="text1"/>
          <w:sz w:val="24"/>
          <w:szCs w:val="24"/>
          <w14:textOutline w14:w="9525" w14:cap="rnd" w14:cmpd="sng" w14:algn="ctr">
            <w14:noFill/>
            <w14:prstDash w14:val="solid"/>
            <w14:bevel/>
          </w14:textOutline>
        </w:rPr>
      </w:pPr>
    </w:p>
    <w:p w14:paraId="74178364" w14:textId="77777777" w:rsidR="0043407C" w:rsidRPr="0078563F" w:rsidRDefault="0043407C" w:rsidP="0043407C">
      <w:pPr>
        <w:spacing w:line="480" w:lineRule="auto"/>
        <w:jc w:val="center"/>
        <w:rPr>
          <w:rFonts w:ascii="Times New Roman" w:hAnsi="Times New Roman" w:cs="Times New Roman"/>
          <w:color w:val="000000" w:themeColor="text1"/>
          <w:sz w:val="24"/>
          <w:szCs w:val="24"/>
        </w:rPr>
      </w:pPr>
      <w:r w:rsidRPr="0078563F">
        <w:rPr>
          <w:rFonts w:ascii="Times New Roman" w:eastAsia="Times New Roman" w:hAnsi="Times New Roman" w:cs="Times New Roman"/>
          <w:color w:val="000000" w:themeColor="text1"/>
          <w:sz w:val="24"/>
          <w:szCs w:val="24"/>
        </w:rPr>
        <w:lastRenderedPageBreak/>
        <w:t>References</w:t>
      </w:r>
    </w:p>
    <w:p w14:paraId="45187A0E" w14:textId="77777777" w:rsidR="0043407C" w:rsidRPr="0078563F" w:rsidRDefault="0043407C" w:rsidP="0043407C">
      <w:pPr>
        <w:spacing w:line="480" w:lineRule="auto"/>
        <w:ind w:left="720" w:hanging="720"/>
        <w:rPr>
          <w:rFonts w:ascii="Times New Roman" w:hAnsi="Times New Roman" w:cs="Times New Roman"/>
          <w:color w:val="000000" w:themeColor="text1"/>
          <w:sz w:val="24"/>
          <w:szCs w:val="24"/>
        </w:rPr>
      </w:pPr>
      <w:r w:rsidRPr="0078563F">
        <w:rPr>
          <w:rFonts w:ascii="Times New Roman" w:hAnsi="Times New Roman" w:cs="Times New Roman"/>
          <w:color w:val="000000" w:themeColor="text1"/>
          <w:sz w:val="24"/>
          <w:szCs w:val="24"/>
          <w:shd w:val="clear" w:color="auto" w:fill="FFFFFF"/>
        </w:rPr>
        <w:t xml:space="preserve">Bureau of Economic Analysis (2019). </w:t>
      </w:r>
      <w:r w:rsidRPr="0078563F">
        <w:rPr>
          <w:rFonts w:ascii="Times New Roman" w:hAnsi="Times New Roman" w:cs="Times New Roman"/>
          <w:color w:val="000000" w:themeColor="text1"/>
          <w:sz w:val="24"/>
          <w:szCs w:val="24"/>
        </w:rPr>
        <w:t xml:space="preserve">Regional Economic Accounts. Retrieved from </w:t>
      </w:r>
      <w:hyperlink r:id="rId9" w:history="1">
        <w:r w:rsidRPr="0078563F">
          <w:rPr>
            <w:rStyle w:val="Hyperlink"/>
            <w:rFonts w:ascii="Times New Roman" w:hAnsi="Times New Roman" w:cs="Times New Roman"/>
            <w:color w:val="000000" w:themeColor="text1"/>
            <w:sz w:val="24"/>
            <w:szCs w:val="24"/>
          </w:rPr>
          <w:t>https://www.bea.gov/data/economic-accounts/regional</w:t>
        </w:r>
      </w:hyperlink>
    </w:p>
    <w:p w14:paraId="570F461F" w14:textId="77777777" w:rsidR="0043407C" w:rsidRPr="0078563F" w:rsidRDefault="0043407C" w:rsidP="0043407C">
      <w:pPr>
        <w:spacing w:line="480" w:lineRule="auto"/>
        <w:ind w:left="720" w:hanging="720"/>
        <w:rPr>
          <w:rFonts w:ascii="Times New Roman" w:hAnsi="Times New Roman" w:cs="Times New Roman"/>
          <w:color w:val="000000" w:themeColor="text1"/>
          <w:sz w:val="24"/>
          <w:szCs w:val="24"/>
        </w:rPr>
      </w:pPr>
      <w:r w:rsidRPr="0078563F">
        <w:rPr>
          <w:rFonts w:ascii="Times New Roman" w:eastAsia="Times New Roman" w:hAnsi="Times New Roman" w:cs="Times New Roman"/>
          <w:color w:val="000000" w:themeColor="text1"/>
          <w:sz w:val="24"/>
          <w:szCs w:val="24"/>
        </w:rPr>
        <w:t xml:space="preserve">City-Data (2019). Economy. Retrieved from </w:t>
      </w:r>
      <w:hyperlink r:id="rId10">
        <w:r w:rsidRPr="0078563F">
          <w:rPr>
            <w:rStyle w:val="Hyperlink"/>
            <w:rFonts w:ascii="Times New Roman" w:eastAsia="Times New Roman" w:hAnsi="Times New Roman" w:cs="Times New Roman"/>
            <w:color w:val="000000" w:themeColor="text1"/>
            <w:sz w:val="24"/>
            <w:szCs w:val="24"/>
          </w:rPr>
          <w:t>http://www.city-data.com/us-cities/The-Midwest/Chicago-Economy.html</w:t>
        </w:r>
      </w:hyperlink>
    </w:p>
    <w:p w14:paraId="000207B4" w14:textId="77777777" w:rsidR="0043407C" w:rsidRPr="0078563F" w:rsidRDefault="0043407C" w:rsidP="0043407C">
      <w:pPr>
        <w:spacing w:line="480" w:lineRule="auto"/>
        <w:ind w:left="720" w:hanging="720"/>
        <w:rPr>
          <w:rFonts w:ascii="Times New Roman" w:hAnsi="Times New Roman" w:cs="Times New Roman"/>
          <w:color w:val="000000" w:themeColor="text1"/>
          <w:sz w:val="24"/>
          <w:szCs w:val="24"/>
          <w:shd w:val="clear" w:color="auto" w:fill="FFFFFF"/>
        </w:rPr>
      </w:pPr>
      <w:r w:rsidRPr="0078563F">
        <w:rPr>
          <w:rFonts w:ascii="Times New Roman" w:hAnsi="Times New Roman" w:cs="Times New Roman"/>
          <w:color w:val="000000" w:themeColor="text1"/>
          <w:sz w:val="24"/>
          <w:szCs w:val="24"/>
          <w:shd w:val="clear" w:color="auto" w:fill="FFFFFF"/>
        </w:rPr>
        <w:t xml:space="preserve">CMAP (2019). </w:t>
      </w:r>
      <w:r w:rsidRPr="0078563F">
        <w:rPr>
          <w:rFonts w:ascii="Times New Roman" w:hAnsi="Times New Roman" w:cs="Times New Roman"/>
          <w:color w:val="000000" w:themeColor="text1"/>
          <w:sz w:val="24"/>
          <w:szCs w:val="24"/>
        </w:rPr>
        <w:t xml:space="preserve">Regional Economic Indicators. Retrieved from </w:t>
      </w:r>
      <w:hyperlink r:id="rId11" w:history="1">
        <w:r w:rsidRPr="0078563F">
          <w:rPr>
            <w:rStyle w:val="Hyperlink"/>
            <w:rFonts w:ascii="Times New Roman" w:hAnsi="Times New Roman" w:cs="Times New Roman"/>
            <w:color w:val="000000" w:themeColor="text1"/>
            <w:sz w:val="24"/>
            <w:szCs w:val="24"/>
          </w:rPr>
          <w:t>https://www.cmap.illinois.gov/programs/regional-economic-indicators</w:t>
        </w:r>
      </w:hyperlink>
      <w:r w:rsidRPr="0078563F">
        <w:rPr>
          <w:rFonts w:ascii="Times New Roman" w:hAnsi="Times New Roman" w:cs="Times New Roman"/>
          <w:color w:val="000000" w:themeColor="text1"/>
          <w:sz w:val="24"/>
          <w:szCs w:val="24"/>
        </w:rPr>
        <w:t xml:space="preserve">  </w:t>
      </w:r>
    </w:p>
    <w:p w14:paraId="68EE4234" w14:textId="77777777" w:rsidR="0043407C" w:rsidRPr="0078563F" w:rsidRDefault="0043407C" w:rsidP="0043407C">
      <w:pPr>
        <w:spacing w:line="480" w:lineRule="auto"/>
        <w:ind w:left="720" w:hanging="720"/>
        <w:rPr>
          <w:rFonts w:ascii="Times New Roman" w:hAnsi="Times New Roman" w:cs="Times New Roman"/>
          <w:color w:val="000000" w:themeColor="text1"/>
          <w:sz w:val="24"/>
          <w:szCs w:val="24"/>
        </w:rPr>
      </w:pPr>
      <w:r w:rsidRPr="0078563F">
        <w:rPr>
          <w:rFonts w:ascii="Times New Roman" w:hAnsi="Times New Roman" w:cs="Times New Roman"/>
          <w:color w:val="000000" w:themeColor="text1"/>
          <w:sz w:val="24"/>
          <w:szCs w:val="24"/>
        </w:rPr>
        <w:t xml:space="preserve">Golden Group (2019). </w:t>
      </w:r>
      <w:r w:rsidRPr="0078563F">
        <w:rPr>
          <w:rFonts w:ascii="Times New Roman" w:hAnsi="Times New Roman" w:cs="Times New Roman"/>
          <w:bCs/>
          <w:color w:val="000000" w:themeColor="text1"/>
          <w:sz w:val="24"/>
          <w:szCs w:val="24"/>
        </w:rPr>
        <w:t>Economic Development Incentives in Illinois. Retrieved from</w:t>
      </w:r>
      <w:r w:rsidRPr="0078563F">
        <w:rPr>
          <w:rFonts w:ascii="Times New Roman" w:hAnsi="Times New Roman" w:cs="Times New Roman"/>
          <w:b/>
          <w:bCs/>
          <w:color w:val="000000" w:themeColor="text1"/>
          <w:sz w:val="24"/>
          <w:szCs w:val="24"/>
        </w:rPr>
        <w:t xml:space="preserve"> </w:t>
      </w:r>
      <w:hyperlink r:id="rId12" w:history="1">
        <w:r w:rsidRPr="0078563F">
          <w:rPr>
            <w:rStyle w:val="Hyperlink"/>
            <w:rFonts w:ascii="Times New Roman" w:hAnsi="Times New Roman" w:cs="Times New Roman"/>
            <w:color w:val="000000" w:themeColor="text1"/>
            <w:sz w:val="24"/>
            <w:szCs w:val="24"/>
          </w:rPr>
          <w:t>https://www.goldengroupcre.com/rent-real-estate-news-talk/economic-development-incentives-in-illinois</w:t>
        </w:r>
      </w:hyperlink>
    </w:p>
    <w:p w14:paraId="176EBF7A" w14:textId="77777777" w:rsidR="0043407C" w:rsidRPr="0078563F" w:rsidRDefault="0043407C" w:rsidP="0043407C">
      <w:pPr>
        <w:spacing w:line="480" w:lineRule="auto"/>
        <w:ind w:left="720" w:hanging="720"/>
        <w:rPr>
          <w:rFonts w:ascii="Times New Roman" w:hAnsi="Times New Roman" w:cs="Times New Roman"/>
          <w:color w:val="000000" w:themeColor="text1"/>
          <w:sz w:val="24"/>
          <w:szCs w:val="24"/>
        </w:rPr>
      </w:pPr>
      <w:r w:rsidRPr="0078563F">
        <w:rPr>
          <w:rFonts w:ascii="Times New Roman" w:eastAsia="Times New Roman" w:hAnsi="Times New Roman" w:cs="Times New Roman"/>
          <w:color w:val="000000" w:themeColor="text1"/>
          <w:sz w:val="24"/>
          <w:szCs w:val="24"/>
        </w:rPr>
        <w:t xml:space="preserve">IG.com (2019).What are the key macroeconomic indicators to watch? Retrieved from </w:t>
      </w:r>
      <w:hyperlink r:id="rId13">
        <w:r w:rsidRPr="0078563F">
          <w:rPr>
            <w:rStyle w:val="Hyperlink"/>
            <w:rFonts w:ascii="Times New Roman" w:eastAsia="Times New Roman" w:hAnsi="Times New Roman" w:cs="Times New Roman"/>
            <w:color w:val="000000" w:themeColor="text1"/>
            <w:sz w:val="24"/>
            <w:szCs w:val="24"/>
          </w:rPr>
          <w:t>https://www.ig.com/en/trading-strategies/what-are-the-key-macroeconomic-indicators-to-watch--191014</w:t>
        </w:r>
      </w:hyperlink>
    </w:p>
    <w:p w14:paraId="0EB472F5" w14:textId="77777777" w:rsidR="0043407C" w:rsidRPr="0078563F" w:rsidRDefault="0043407C" w:rsidP="0043407C">
      <w:pPr>
        <w:spacing w:line="480" w:lineRule="auto"/>
        <w:ind w:left="720" w:hanging="720"/>
        <w:rPr>
          <w:rFonts w:ascii="Times New Roman" w:hAnsi="Times New Roman" w:cs="Times New Roman"/>
          <w:color w:val="000000" w:themeColor="text1"/>
          <w:sz w:val="24"/>
          <w:szCs w:val="24"/>
        </w:rPr>
      </w:pPr>
      <w:r w:rsidRPr="0078563F">
        <w:rPr>
          <w:rFonts w:ascii="Times New Roman" w:eastAsia="Times New Roman" w:hAnsi="Times New Roman" w:cs="Times New Roman"/>
          <w:color w:val="000000" w:themeColor="text1"/>
          <w:sz w:val="24"/>
          <w:szCs w:val="24"/>
        </w:rPr>
        <w:t>Kelley, D. (2019). Which Leading Indicators Have Done Better at Signaling Past Recessions</w:t>
      </w:r>
      <w:proofErr w:type="gramStart"/>
      <w:r w:rsidRPr="0078563F">
        <w:rPr>
          <w:rFonts w:ascii="Times New Roman" w:eastAsia="Times New Roman" w:hAnsi="Times New Roman" w:cs="Times New Roman"/>
          <w:color w:val="000000" w:themeColor="text1"/>
          <w:sz w:val="24"/>
          <w:szCs w:val="24"/>
        </w:rPr>
        <w:t>?.</w:t>
      </w:r>
      <w:proofErr w:type="gramEnd"/>
      <w:r w:rsidRPr="0078563F">
        <w:rPr>
          <w:rFonts w:ascii="Times New Roman" w:eastAsia="Times New Roman" w:hAnsi="Times New Roman" w:cs="Times New Roman"/>
          <w:color w:val="000000" w:themeColor="text1"/>
          <w:sz w:val="24"/>
          <w:szCs w:val="24"/>
        </w:rPr>
        <w:t xml:space="preserve"> </w:t>
      </w:r>
      <w:r w:rsidRPr="0078563F">
        <w:rPr>
          <w:rFonts w:ascii="Times New Roman" w:eastAsia="Times New Roman" w:hAnsi="Times New Roman" w:cs="Times New Roman"/>
          <w:i/>
          <w:iCs/>
          <w:color w:val="000000" w:themeColor="text1"/>
          <w:sz w:val="24"/>
          <w:szCs w:val="24"/>
        </w:rPr>
        <w:t>Chicago Fed Letter</w:t>
      </w:r>
      <w:r w:rsidRPr="0078563F">
        <w:rPr>
          <w:rFonts w:ascii="Times New Roman" w:eastAsia="Times New Roman" w:hAnsi="Times New Roman" w:cs="Times New Roman"/>
          <w:color w:val="000000" w:themeColor="text1"/>
          <w:sz w:val="24"/>
          <w:szCs w:val="24"/>
        </w:rPr>
        <w:t>, (425), 1.</w:t>
      </w:r>
    </w:p>
    <w:p w14:paraId="3BAAC6FE" w14:textId="77777777" w:rsidR="0043407C" w:rsidRPr="0078563F" w:rsidRDefault="0043407C" w:rsidP="0043407C">
      <w:pPr>
        <w:spacing w:line="480" w:lineRule="auto"/>
        <w:ind w:left="720" w:hanging="720"/>
        <w:rPr>
          <w:rFonts w:ascii="Times New Roman" w:hAnsi="Times New Roman" w:cs="Times New Roman"/>
          <w:color w:val="000000" w:themeColor="text1"/>
          <w:sz w:val="24"/>
          <w:szCs w:val="24"/>
          <w:shd w:val="clear" w:color="auto" w:fill="FFFFFF"/>
        </w:rPr>
      </w:pPr>
      <w:r w:rsidRPr="0078563F">
        <w:rPr>
          <w:rFonts w:ascii="Times New Roman" w:hAnsi="Times New Roman" w:cs="Times New Roman"/>
          <w:color w:val="000000" w:themeColor="text1"/>
          <w:sz w:val="24"/>
          <w:szCs w:val="24"/>
          <w:shd w:val="clear" w:color="auto" w:fill="FFFFFF"/>
        </w:rPr>
        <w:t xml:space="preserve">Kirithiga, S., </w:t>
      </w:r>
      <w:proofErr w:type="spellStart"/>
      <w:r w:rsidRPr="0078563F">
        <w:rPr>
          <w:rFonts w:ascii="Times New Roman" w:hAnsi="Times New Roman" w:cs="Times New Roman"/>
          <w:color w:val="000000" w:themeColor="text1"/>
          <w:sz w:val="24"/>
          <w:szCs w:val="24"/>
          <w:shd w:val="clear" w:color="auto" w:fill="FFFFFF"/>
        </w:rPr>
        <w:t>Thiyagarajan</w:t>
      </w:r>
      <w:proofErr w:type="spellEnd"/>
      <w:r w:rsidRPr="0078563F">
        <w:rPr>
          <w:rFonts w:ascii="Times New Roman" w:hAnsi="Times New Roman" w:cs="Times New Roman"/>
          <w:color w:val="000000" w:themeColor="text1"/>
          <w:sz w:val="24"/>
          <w:szCs w:val="24"/>
          <w:shd w:val="clear" w:color="auto" w:fill="FFFFFF"/>
        </w:rPr>
        <w:t>, S., &amp; Naresh, G. (2019). Impact of macroeconomic indicators on commodity futures. </w:t>
      </w:r>
      <w:r w:rsidRPr="0078563F">
        <w:rPr>
          <w:rFonts w:ascii="Times New Roman" w:hAnsi="Times New Roman" w:cs="Times New Roman"/>
          <w:i/>
          <w:iCs/>
          <w:color w:val="000000" w:themeColor="text1"/>
          <w:sz w:val="24"/>
          <w:szCs w:val="24"/>
          <w:shd w:val="clear" w:color="auto" w:fill="FFFFFF"/>
        </w:rPr>
        <w:t>International Journal of Business Innovation and Research</w:t>
      </w:r>
      <w:r w:rsidRPr="0078563F">
        <w:rPr>
          <w:rFonts w:ascii="Times New Roman" w:hAnsi="Times New Roman" w:cs="Times New Roman"/>
          <w:color w:val="000000" w:themeColor="text1"/>
          <w:sz w:val="24"/>
          <w:szCs w:val="24"/>
          <w:shd w:val="clear" w:color="auto" w:fill="FFFFFF"/>
        </w:rPr>
        <w:t>, </w:t>
      </w:r>
      <w:r w:rsidRPr="0078563F">
        <w:rPr>
          <w:rFonts w:ascii="Times New Roman" w:hAnsi="Times New Roman" w:cs="Times New Roman"/>
          <w:i/>
          <w:iCs/>
          <w:color w:val="000000" w:themeColor="text1"/>
          <w:sz w:val="24"/>
          <w:szCs w:val="24"/>
          <w:shd w:val="clear" w:color="auto" w:fill="FFFFFF"/>
        </w:rPr>
        <w:t>18</w:t>
      </w:r>
      <w:r w:rsidRPr="0078563F">
        <w:rPr>
          <w:rFonts w:ascii="Times New Roman" w:hAnsi="Times New Roman" w:cs="Times New Roman"/>
          <w:color w:val="000000" w:themeColor="text1"/>
          <w:sz w:val="24"/>
          <w:szCs w:val="24"/>
          <w:shd w:val="clear" w:color="auto" w:fill="FFFFFF"/>
        </w:rPr>
        <w:t>(3), 279-292.</w:t>
      </w:r>
    </w:p>
    <w:p w14:paraId="21A0DBA3" w14:textId="77777777" w:rsidR="0043407C" w:rsidRPr="0078563F" w:rsidRDefault="0043407C" w:rsidP="0043407C">
      <w:pPr>
        <w:spacing w:line="480" w:lineRule="auto"/>
        <w:ind w:left="720" w:hanging="720"/>
        <w:rPr>
          <w:rFonts w:ascii="Times New Roman" w:eastAsia="Times New Roman" w:hAnsi="Times New Roman" w:cs="Times New Roman"/>
          <w:color w:val="000000" w:themeColor="text1"/>
          <w:sz w:val="24"/>
          <w:szCs w:val="24"/>
        </w:rPr>
      </w:pPr>
      <w:r w:rsidRPr="0078563F">
        <w:rPr>
          <w:rFonts w:ascii="Times New Roman" w:eastAsia="Times New Roman" w:hAnsi="Times New Roman" w:cs="Times New Roman"/>
          <w:color w:val="000000" w:themeColor="text1"/>
          <w:sz w:val="24"/>
          <w:szCs w:val="24"/>
        </w:rPr>
        <w:t xml:space="preserve">Mügge, D. (2016). Studying macroeconomic indicators as powerful ideas. </w:t>
      </w:r>
      <w:r w:rsidRPr="0078563F">
        <w:rPr>
          <w:rFonts w:ascii="Times New Roman" w:eastAsia="Times New Roman" w:hAnsi="Times New Roman" w:cs="Times New Roman"/>
          <w:i/>
          <w:iCs/>
          <w:color w:val="000000" w:themeColor="text1"/>
          <w:sz w:val="24"/>
          <w:szCs w:val="24"/>
        </w:rPr>
        <w:t>Journal of European Public Policy</w:t>
      </w:r>
      <w:r w:rsidRPr="0078563F">
        <w:rPr>
          <w:rFonts w:ascii="Times New Roman" w:eastAsia="Times New Roman" w:hAnsi="Times New Roman" w:cs="Times New Roman"/>
          <w:color w:val="000000" w:themeColor="text1"/>
          <w:sz w:val="24"/>
          <w:szCs w:val="24"/>
        </w:rPr>
        <w:t xml:space="preserve">, </w:t>
      </w:r>
      <w:r w:rsidRPr="0078563F">
        <w:rPr>
          <w:rFonts w:ascii="Times New Roman" w:eastAsia="Times New Roman" w:hAnsi="Times New Roman" w:cs="Times New Roman"/>
          <w:i/>
          <w:iCs/>
          <w:color w:val="000000" w:themeColor="text1"/>
          <w:sz w:val="24"/>
          <w:szCs w:val="24"/>
        </w:rPr>
        <w:t>23</w:t>
      </w:r>
      <w:r w:rsidRPr="0078563F">
        <w:rPr>
          <w:rFonts w:ascii="Times New Roman" w:eastAsia="Times New Roman" w:hAnsi="Times New Roman" w:cs="Times New Roman"/>
          <w:color w:val="000000" w:themeColor="text1"/>
          <w:sz w:val="24"/>
          <w:szCs w:val="24"/>
        </w:rPr>
        <w:t>(3), 410-427.</w:t>
      </w:r>
    </w:p>
    <w:p w14:paraId="338460A5" w14:textId="787C761A" w:rsidR="0017159B" w:rsidRPr="0078563F" w:rsidRDefault="0017159B" w:rsidP="0017159B">
      <w:pPr>
        <w:spacing w:line="240" w:lineRule="auto"/>
        <w:ind w:left="720" w:hanging="720"/>
        <w:rPr>
          <w:rFonts w:ascii="Times New Roman" w:hAnsi="Times New Roman" w:cs="Times New Roman"/>
          <w:sz w:val="24"/>
          <w:szCs w:val="24"/>
        </w:rPr>
      </w:pPr>
    </w:p>
    <w:sectPr w:rsidR="0017159B" w:rsidRPr="0078563F" w:rsidSect="0043407C">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75B353" w14:textId="77777777" w:rsidR="00B331F4" w:rsidRDefault="00B331F4" w:rsidP="0017314C">
      <w:pPr>
        <w:spacing w:after="0" w:line="240" w:lineRule="auto"/>
      </w:pPr>
      <w:r>
        <w:separator/>
      </w:r>
    </w:p>
  </w:endnote>
  <w:endnote w:type="continuationSeparator" w:id="0">
    <w:p w14:paraId="1F627BAA" w14:textId="77777777" w:rsidR="00B331F4" w:rsidRDefault="00B331F4" w:rsidP="00173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74569D" w14:textId="77777777" w:rsidR="00B331F4" w:rsidRDefault="00B331F4" w:rsidP="0017314C">
      <w:pPr>
        <w:spacing w:after="0" w:line="240" w:lineRule="auto"/>
      </w:pPr>
      <w:r>
        <w:separator/>
      </w:r>
    </w:p>
  </w:footnote>
  <w:footnote w:type="continuationSeparator" w:id="0">
    <w:p w14:paraId="2BE8DDAF" w14:textId="77777777" w:rsidR="00B331F4" w:rsidRDefault="00B331F4" w:rsidP="001731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2CD4DB" w14:textId="602B90F4" w:rsidR="0043407C" w:rsidRPr="0043407C" w:rsidRDefault="0043407C">
    <w:pPr>
      <w:pStyle w:val="Header"/>
      <w:rPr>
        <w:rFonts w:ascii="Times New Roman" w:hAnsi="Times New Roman"/>
        <w:sz w:val="24"/>
        <w:szCs w:val="24"/>
      </w:rPr>
    </w:pPr>
    <w:r w:rsidRPr="0043407C">
      <w:rPr>
        <w:rFonts w:ascii="Times New Roman" w:eastAsia="Times New Roman" w:hAnsi="Times New Roman"/>
        <w:color w:val="000000" w:themeColor="text1"/>
        <w:sz w:val="24"/>
        <w:szCs w:val="24"/>
      </w:rPr>
      <w:t>MACROECONOMIC INDICATORS IN ILLINOIS</w:t>
    </w:r>
    <w:r w:rsidRPr="0043407C">
      <w:rPr>
        <w:rFonts w:ascii="Times New Roman" w:hAnsi="Times New Roman"/>
        <w:sz w:val="24"/>
        <w:szCs w:val="24"/>
      </w:rPr>
      <w:t xml:space="preserve"> </w:t>
    </w:r>
    <w:r w:rsidRPr="0043407C">
      <w:rPr>
        <w:rFonts w:ascii="Times New Roman" w:hAnsi="Times New Roman"/>
        <w:sz w:val="24"/>
        <w:szCs w:val="24"/>
      </w:rPr>
      <w:tab/>
    </w:r>
    <w:sdt>
      <w:sdtPr>
        <w:rPr>
          <w:rFonts w:ascii="Times New Roman" w:hAnsi="Times New Roman"/>
          <w:sz w:val="24"/>
          <w:szCs w:val="24"/>
        </w:rPr>
        <w:id w:val="-1921553617"/>
        <w:docPartObj>
          <w:docPartGallery w:val="Page Numbers (Top of Page)"/>
          <w:docPartUnique/>
        </w:docPartObj>
      </w:sdtPr>
      <w:sdtEndPr>
        <w:rPr>
          <w:noProof/>
        </w:rPr>
      </w:sdtEndPr>
      <w:sdtContent>
        <w:r w:rsidRPr="0043407C">
          <w:rPr>
            <w:rFonts w:ascii="Times New Roman" w:hAnsi="Times New Roman"/>
            <w:sz w:val="24"/>
            <w:szCs w:val="24"/>
          </w:rPr>
          <w:fldChar w:fldCharType="begin"/>
        </w:r>
        <w:r w:rsidRPr="0043407C">
          <w:rPr>
            <w:rFonts w:ascii="Times New Roman" w:hAnsi="Times New Roman"/>
            <w:sz w:val="24"/>
            <w:szCs w:val="24"/>
          </w:rPr>
          <w:instrText xml:space="preserve"> PAGE   \* MERGEFORMAT </w:instrText>
        </w:r>
        <w:r w:rsidRPr="0043407C">
          <w:rPr>
            <w:rFonts w:ascii="Times New Roman" w:hAnsi="Times New Roman"/>
            <w:sz w:val="24"/>
            <w:szCs w:val="24"/>
          </w:rPr>
          <w:fldChar w:fldCharType="separate"/>
        </w:r>
        <w:r w:rsidR="000E5203">
          <w:rPr>
            <w:rFonts w:ascii="Times New Roman" w:hAnsi="Times New Roman"/>
            <w:noProof/>
            <w:sz w:val="24"/>
            <w:szCs w:val="24"/>
          </w:rPr>
          <w:t>2</w:t>
        </w:r>
        <w:r w:rsidRPr="0043407C">
          <w:rPr>
            <w:rFonts w:ascii="Times New Roman" w:hAnsi="Times New Roman"/>
            <w:noProof/>
            <w:sz w:val="24"/>
            <w:szCs w:val="24"/>
          </w:rPr>
          <w:fldChar w:fldCharType="end"/>
        </w:r>
      </w:sdtContent>
    </w:sdt>
  </w:p>
  <w:p w14:paraId="378F653F" w14:textId="77777777" w:rsidR="0017314C" w:rsidRPr="0043407C" w:rsidRDefault="0017314C">
    <w:pPr>
      <w:pStyle w:val="Header"/>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92F1A" w14:textId="02B9FF11" w:rsidR="0017314C" w:rsidRPr="0043407C" w:rsidRDefault="0043407C" w:rsidP="0043407C">
    <w:pPr>
      <w:spacing w:line="480" w:lineRule="auto"/>
      <w:rPr>
        <w:rFonts w:ascii="Times New Roman" w:hAnsi="Times New Roman" w:cs="Times New Roman"/>
        <w:sz w:val="24"/>
        <w:szCs w:val="24"/>
      </w:rPr>
    </w:pPr>
    <w:r w:rsidRPr="0043407C">
      <w:rPr>
        <w:rFonts w:ascii="Times New Roman" w:hAnsi="Times New Roman" w:cs="Times New Roman"/>
        <w:sz w:val="24"/>
        <w:szCs w:val="24"/>
      </w:rPr>
      <w:t xml:space="preserve">Running head: </w:t>
    </w:r>
    <w:r w:rsidRPr="0043407C">
      <w:rPr>
        <w:rFonts w:ascii="Times New Roman" w:eastAsia="Times New Roman" w:hAnsi="Times New Roman" w:cs="Times New Roman"/>
        <w:color w:val="000000" w:themeColor="text1"/>
        <w:sz w:val="24"/>
        <w:szCs w:val="24"/>
      </w:rPr>
      <w:t>MACROECONOMIC INDICATORS IN ILLINOIS</w:t>
    </w:r>
    <w:r w:rsidRPr="0043407C">
      <w:rPr>
        <w:rFonts w:ascii="Times New Roman" w:eastAsia="Times New Roman" w:hAnsi="Times New Roman" w:cs="Times New Roman"/>
        <w:color w:val="000000" w:themeColor="text1"/>
        <w:sz w:val="24"/>
        <w:szCs w:val="24"/>
      </w:rPr>
      <w:tab/>
    </w:r>
    <w:r w:rsidRPr="0043407C">
      <w:rPr>
        <w:rFonts w:ascii="Times New Roman" w:eastAsia="Times New Roman" w:hAnsi="Times New Roman" w:cs="Times New Roman"/>
        <w:color w:val="000000" w:themeColor="text1"/>
        <w:sz w:val="24"/>
        <w:szCs w:val="24"/>
      </w:rPr>
      <w:tab/>
    </w:r>
    <w:r w:rsidRPr="0043407C">
      <w:rPr>
        <w:rFonts w:ascii="Times New Roman" w:eastAsia="Times New Roman" w:hAnsi="Times New Roman" w:cs="Times New Roman"/>
        <w:color w:val="000000" w:themeColor="text1"/>
        <w:sz w:val="24"/>
        <w:szCs w:val="24"/>
      </w:rPr>
      <w:tab/>
      <w:t xml:space="preserve">      </w:t>
    </w:r>
    <w:sdt>
      <w:sdtPr>
        <w:rPr>
          <w:rFonts w:ascii="Times New Roman" w:hAnsi="Times New Roman" w:cs="Times New Roman"/>
          <w:sz w:val="24"/>
          <w:szCs w:val="24"/>
        </w:rPr>
        <w:id w:val="-2137945991"/>
        <w:docPartObj>
          <w:docPartGallery w:val="Page Numbers (Top of Page)"/>
          <w:docPartUnique/>
        </w:docPartObj>
      </w:sdtPr>
      <w:sdtEndPr>
        <w:rPr>
          <w:noProof/>
        </w:rPr>
      </w:sdtEndPr>
      <w:sdtContent>
        <w:r w:rsidRPr="0043407C">
          <w:rPr>
            <w:rFonts w:ascii="Times New Roman" w:hAnsi="Times New Roman" w:cs="Times New Roman"/>
            <w:sz w:val="24"/>
            <w:szCs w:val="24"/>
          </w:rPr>
          <w:fldChar w:fldCharType="begin"/>
        </w:r>
        <w:r w:rsidRPr="0043407C">
          <w:rPr>
            <w:rFonts w:ascii="Times New Roman" w:hAnsi="Times New Roman" w:cs="Times New Roman"/>
            <w:sz w:val="24"/>
            <w:szCs w:val="24"/>
          </w:rPr>
          <w:instrText xml:space="preserve"> PAGE   \* MERGEFORMAT </w:instrText>
        </w:r>
        <w:r w:rsidRPr="0043407C">
          <w:rPr>
            <w:rFonts w:ascii="Times New Roman" w:hAnsi="Times New Roman" w:cs="Times New Roman"/>
            <w:sz w:val="24"/>
            <w:szCs w:val="24"/>
          </w:rPr>
          <w:fldChar w:fldCharType="separate"/>
        </w:r>
        <w:r w:rsidR="000E5203">
          <w:rPr>
            <w:rFonts w:ascii="Times New Roman" w:hAnsi="Times New Roman" w:cs="Times New Roman"/>
            <w:noProof/>
            <w:sz w:val="24"/>
            <w:szCs w:val="24"/>
          </w:rPr>
          <w:t>1</w:t>
        </w:r>
        <w:r w:rsidRPr="0043407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B632A"/>
    <w:multiLevelType w:val="hybridMultilevel"/>
    <w:tmpl w:val="06FE8898"/>
    <w:lvl w:ilvl="0" w:tplc="AE6868E6">
      <w:start w:val="1"/>
      <w:numFmt w:val="decimal"/>
      <w:lvlText w:val="%1."/>
      <w:lvlJc w:val="left"/>
      <w:pPr>
        <w:ind w:left="720" w:hanging="360"/>
      </w:pPr>
    </w:lvl>
    <w:lvl w:ilvl="1" w:tplc="9ACE4488">
      <w:start w:val="1"/>
      <w:numFmt w:val="lowerLetter"/>
      <w:lvlText w:val="%2."/>
      <w:lvlJc w:val="left"/>
      <w:pPr>
        <w:ind w:left="1440" w:hanging="360"/>
      </w:pPr>
    </w:lvl>
    <w:lvl w:ilvl="2" w:tplc="849E3D9C">
      <w:start w:val="1"/>
      <w:numFmt w:val="lowerRoman"/>
      <w:lvlText w:val="%3."/>
      <w:lvlJc w:val="right"/>
      <w:pPr>
        <w:ind w:left="2160" w:hanging="180"/>
      </w:pPr>
    </w:lvl>
    <w:lvl w:ilvl="3" w:tplc="F2CAC208">
      <w:start w:val="1"/>
      <w:numFmt w:val="decimal"/>
      <w:lvlText w:val="%4."/>
      <w:lvlJc w:val="left"/>
      <w:pPr>
        <w:ind w:left="2880" w:hanging="360"/>
      </w:pPr>
    </w:lvl>
    <w:lvl w:ilvl="4" w:tplc="288C11D2">
      <w:start w:val="1"/>
      <w:numFmt w:val="lowerLetter"/>
      <w:lvlText w:val="%5."/>
      <w:lvlJc w:val="left"/>
      <w:pPr>
        <w:ind w:left="3600" w:hanging="360"/>
      </w:pPr>
    </w:lvl>
    <w:lvl w:ilvl="5" w:tplc="F0D6C736">
      <w:start w:val="1"/>
      <w:numFmt w:val="lowerRoman"/>
      <w:lvlText w:val="%6."/>
      <w:lvlJc w:val="right"/>
      <w:pPr>
        <w:ind w:left="4320" w:hanging="180"/>
      </w:pPr>
    </w:lvl>
    <w:lvl w:ilvl="6" w:tplc="098234D4">
      <w:start w:val="1"/>
      <w:numFmt w:val="decimal"/>
      <w:lvlText w:val="%7."/>
      <w:lvlJc w:val="left"/>
      <w:pPr>
        <w:ind w:left="5040" w:hanging="360"/>
      </w:pPr>
    </w:lvl>
    <w:lvl w:ilvl="7" w:tplc="2CCA9FFC">
      <w:start w:val="1"/>
      <w:numFmt w:val="lowerLetter"/>
      <w:lvlText w:val="%8."/>
      <w:lvlJc w:val="left"/>
      <w:pPr>
        <w:ind w:left="5760" w:hanging="360"/>
      </w:pPr>
    </w:lvl>
    <w:lvl w:ilvl="8" w:tplc="37E0F4CC">
      <w:start w:val="1"/>
      <w:numFmt w:val="lowerRoman"/>
      <w:lvlText w:val="%9."/>
      <w:lvlJc w:val="right"/>
      <w:pPr>
        <w:ind w:left="6480" w:hanging="180"/>
      </w:pPr>
    </w:lvl>
  </w:abstractNum>
  <w:abstractNum w:abstractNumId="1">
    <w:nsid w:val="56B10C98"/>
    <w:multiLevelType w:val="hybridMultilevel"/>
    <w:tmpl w:val="9054518A"/>
    <w:lvl w:ilvl="0" w:tplc="A5B498F6">
      <w:start w:val="1"/>
      <w:numFmt w:val="bullet"/>
      <w:lvlText w:val=""/>
      <w:lvlJc w:val="left"/>
      <w:pPr>
        <w:ind w:left="720" w:hanging="360"/>
      </w:pPr>
      <w:rPr>
        <w:rFonts w:ascii="Symbol" w:hAnsi="Symbol" w:hint="default"/>
      </w:rPr>
    </w:lvl>
    <w:lvl w:ilvl="1" w:tplc="8A1A7F38">
      <w:start w:val="1"/>
      <w:numFmt w:val="bullet"/>
      <w:lvlText w:val=""/>
      <w:lvlJc w:val="left"/>
      <w:pPr>
        <w:ind w:left="1440" w:hanging="360"/>
      </w:pPr>
      <w:rPr>
        <w:rFonts w:ascii="Symbol" w:hAnsi="Symbol" w:hint="default"/>
      </w:rPr>
    </w:lvl>
    <w:lvl w:ilvl="2" w:tplc="06CACF8E">
      <w:start w:val="1"/>
      <w:numFmt w:val="bullet"/>
      <w:lvlText w:val=""/>
      <w:lvlJc w:val="left"/>
      <w:pPr>
        <w:ind w:left="2160" w:hanging="360"/>
      </w:pPr>
      <w:rPr>
        <w:rFonts w:ascii="Wingdings" w:hAnsi="Wingdings" w:hint="default"/>
      </w:rPr>
    </w:lvl>
    <w:lvl w:ilvl="3" w:tplc="FC6E950A">
      <w:start w:val="1"/>
      <w:numFmt w:val="bullet"/>
      <w:lvlText w:val=""/>
      <w:lvlJc w:val="left"/>
      <w:pPr>
        <w:ind w:left="2880" w:hanging="360"/>
      </w:pPr>
      <w:rPr>
        <w:rFonts w:ascii="Symbol" w:hAnsi="Symbol" w:hint="default"/>
      </w:rPr>
    </w:lvl>
    <w:lvl w:ilvl="4" w:tplc="10C82910">
      <w:start w:val="1"/>
      <w:numFmt w:val="bullet"/>
      <w:lvlText w:val="o"/>
      <w:lvlJc w:val="left"/>
      <w:pPr>
        <w:ind w:left="3600" w:hanging="360"/>
      </w:pPr>
      <w:rPr>
        <w:rFonts w:ascii="Courier New" w:hAnsi="Courier New" w:hint="default"/>
      </w:rPr>
    </w:lvl>
    <w:lvl w:ilvl="5" w:tplc="BBAC30BC">
      <w:start w:val="1"/>
      <w:numFmt w:val="bullet"/>
      <w:lvlText w:val=""/>
      <w:lvlJc w:val="left"/>
      <w:pPr>
        <w:ind w:left="4320" w:hanging="360"/>
      </w:pPr>
      <w:rPr>
        <w:rFonts w:ascii="Wingdings" w:hAnsi="Wingdings" w:hint="default"/>
      </w:rPr>
    </w:lvl>
    <w:lvl w:ilvl="6" w:tplc="13564C7A">
      <w:start w:val="1"/>
      <w:numFmt w:val="bullet"/>
      <w:lvlText w:val=""/>
      <w:lvlJc w:val="left"/>
      <w:pPr>
        <w:ind w:left="5040" w:hanging="360"/>
      </w:pPr>
      <w:rPr>
        <w:rFonts w:ascii="Symbol" w:hAnsi="Symbol" w:hint="default"/>
      </w:rPr>
    </w:lvl>
    <w:lvl w:ilvl="7" w:tplc="74B843CC">
      <w:start w:val="1"/>
      <w:numFmt w:val="bullet"/>
      <w:lvlText w:val="o"/>
      <w:lvlJc w:val="left"/>
      <w:pPr>
        <w:ind w:left="5760" w:hanging="360"/>
      </w:pPr>
      <w:rPr>
        <w:rFonts w:ascii="Courier New" w:hAnsi="Courier New" w:hint="default"/>
      </w:rPr>
    </w:lvl>
    <w:lvl w:ilvl="8" w:tplc="73FE558A">
      <w:start w:val="1"/>
      <w:numFmt w:val="bullet"/>
      <w:lvlText w:val=""/>
      <w:lvlJc w:val="left"/>
      <w:pPr>
        <w:ind w:left="6480" w:hanging="360"/>
      </w:pPr>
      <w:rPr>
        <w:rFonts w:ascii="Wingdings" w:hAnsi="Wingdings" w:hint="default"/>
      </w:rPr>
    </w:lvl>
  </w:abstractNum>
  <w:abstractNum w:abstractNumId="2">
    <w:nsid w:val="5A512586"/>
    <w:multiLevelType w:val="hybridMultilevel"/>
    <w:tmpl w:val="66A4252A"/>
    <w:lvl w:ilvl="0" w:tplc="2A988660">
      <w:start w:val="1"/>
      <w:numFmt w:val="lowerRoman"/>
      <w:lvlText w:val="%1."/>
      <w:lvlJc w:val="left"/>
      <w:pPr>
        <w:ind w:left="720" w:hanging="360"/>
      </w:pPr>
    </w:lvl>
    <w:lvl w:ilvl="1" w:tplc="8DF2F35E">
      <w:start w:val="1"/>
      <w:numFmt w:val="lowerLetter"/>
      <w:lvlText w:val="%2."/>
      <w:lvlJc w:val="left"/>
      <w:pPr>
        <w:ind w:left="1440" w:hanging="360"/>
      </w:pPr>
    </w:lvl>
    <w:lvl w:ilvl="2" w:tplc="0DE68000">
      <w:start w:val="1"/>
      <w:numFmt w:val="lowerRoman"/>
      <w:lvlText w:val="%3."/>
      <w:lvlJc w:val="right"/>
      <w:pPr>
        <w:ind w:left="2160" w:hanging="180"/>
      </w:pPr>
    </w:lvl>
    <w:lvl w:ilvl="3" w:tplc="F1001C04">
      <w:start w:val="1"/>
      <w:numFmt w:val="decimal"/>
      <w:lvlText w:val="%4."/>
      <w:lvlJc w:val="left"/>
      <w:pPr>
        <w:ind w:left="2880" w:hanging="360"/>
      </w:pPr>
    </w:lvl>
    <w:lvl w:ilvl="4" w:tplc="451E1EA6">
      <w:start w:val="1"/>
      <w:numFmt w:val="lowerLetter"/>
      <w:lvlText w:val="%5."/>
      <w:lvlJc w:val="left"/>
      <w:pPr>
        <w:ind w:left="3600" w:hanging="360"/>
      </w:pPr>
    </w:lvl>
    <w:lvl w:ilvl="5" w:tplc="4132A376">
      <w:start w:val="1"/>
      <w:numFmt w:val="lowerRoman"/>
      <w:lvlText w:val="%6."/>
      <w:lvlJc w:val="right"/>
      <w:pPr>
        <w:ind w:left="4320" w:hanging="180"/>
      </w:pPr>
    </w:lvl>
    <w:lvl w:ilvl="6" w:tplc="85741C80">
      <w:start w:val="1"/>
      <w:numFmt w:val="decimal"/>
      <w:lvlText w:val="%7."/>
      <w:lvlJc w:val="left"/>
      <w:pPr>
        <w:ind w:left="5040" w:hanging="360"/>
      </w:pPr>
    </w:lvl>
    <w:lvl w:ilvl="7" w:tplc="CF94FBCE">
      <w:start w:val="1"/>
      <w:numFmt w:val="lowerLetter"/>
      <w:lvlText w:val="%8."/>
      <w:lvlJc w:val="left"/>
      <w:pPr>
        <w:ind w:left="5760" w:hanging="360"/>
      </w:pPr>
    </w:lvl>
    <w:lvl w:ilvl="8" w:tplc="BE36AA3A">
      <w:start w:val="1"/>
      <w:numFmt w:val="lowerRoman"/>
      <w:lvlText w:val="%9."/>
      <w:lvlJc w:val="right"/>
      <w:pPr>
        <w:ind w:left="6480" w:hanging="180"/>
      </w:pPr>
    </w:lvl>
  </w:abstractNum>
  <w:abstractNum w:abstractNumId="3">
    <w:nsid w:val="7D520376"/>
    <w:multiLevelType w:val="hybridMultilevel"/>
    <w:tmpl w:val="018469DA"/>
    <w:lvl w:ilvl="0" w:tplc="4E92AC92">
      <w:start w:val="1"/>
      <w:numFmt w:val="lowerLetter"/>
      <w:lvlText w:val="%1."/>
      <w:lvlJc w:val="left"/>
      <w:pPr>
        <w:ind w:left="720" w:hanging="360"/>
      </w:pPr>
    </w:lvl>
    <w:lvl w:ilvl="1" w:tplc="E38C1242">
      <w:start w:val="1"/>
      <w:numFmt w:val="lowerLetter"/>
      <w:lvlText w:val="%2."/>
      <w:lvlJc w:val="left"/>
      <w:pPr>
        <w:ind w:left="1440" w:hanging="360"/>
      </w:pPr>
    </w:lvl>
    <w:lvl w:ilvl="2" w:tplc="AB0449DA">
      <w:start w:val="1"/>
      <w:numFmt w:val="lowerRoman"/>
      <w:lvlText w:val="%3."/>
      <w:lvlJc w:val="right"/>
      <w:pPr>
        <w:ind w:left="2160" w:hanging="180"/>
      </w:pPr>
    </w:lvl>
    <w:lvl w:ilvl="3" w:tplc="83142174">
      <w:start w:val="1"/>
      <w:numFmt w:val="decimal"/>
      <w:lvlText w:val="%4."/>
      <w:lvlJc w:val="left"/>
      <w:pPr>
        <w:ind w:left="2880" w:hanging="360"/>
      </w:pPr>
    </w:lvl>
    <w:lvl w:ilvl="4" w:tplc="B28C28B8">
      <w:start w:val="1"/>
      <w:numFmt w:val="lowerLetter"/>
      <w:lvlText w:val="%5."/>
      <w:lvlJc w:val="left"/>
      <w:pPr>
        <w:ind w:left="3600" w:hanging="360"/>
      </w:pPr>
    </w:lvl>
    <w:lvl w:ilvl="5" w:tplc="8334F9DC">
      <w:start w:val="1"/>
      <w:numFmt w:val="lowerRoman"/>
      <w:lvlText w:val="%6."/>
      <w:lvlJc w:val="right"/>
      <w:pPr>
        <w:ind w:left="4320" w:hanging="180"/>
      </w:pPr>
    </w:lvl>
    <w:lvl w:ilvl="6" w:tplc="2FAC251C">
      <w:start w:val="1"/>
      <w:numFmt w:val="decimal"/>
      <w:lvlText w:val="%7."/>
      <w:lvlJc w:val="left"/>
      <w:pPr>
        <w:ind w:left="5040" w:hanging="360"/>
      </w:pPr>
    </w:lvl>
    <w:lvl w:ilvl="7" w:tplc="0256FF38">
      <w:start w:val="1"/>
      <w:numFmt w:val="lowerLetter"/>
      <w:lvlText w:val="%8."/>
      <w:lvlJc w:val="left"/>
      <w:pPr>
        <w:ind w:left="5760" w:hanging="360"/>
      </w:pPr>
    </w:lvl>
    <w:lvl w:ilvl="8" w:tplc="AA5612DA">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B33A50"/>
    <w:rsid w:val="000456DA"/>
    <w:rsid w:val="00093253"/>
    <w:rsid w:val="00096484"/>
    <w:rsid w:val="000D5555"/>
    <w:rsid w:val="000E2747"/>
    <w:rsid w:val="000E5203"/>
    <w:rsid w:val="000F0108"/>
    <w:rsid w:val="0012229E"/>
    <w:rsid w:val="00131884"/>
    <w:rsid w:val="0014297C"/>
    <w:rsid w:val="00160D28"/>
    <w:rsid w:val="0017159B"/>
    <w:rsid w:val="0017314C"/>
    <w:rsid w:val="001810D8"/>
    <w:rsid w:val="00217FCF"/>
    <w:rsid w:val="00236167"/>
    <w:rsid w:val="00241F9D"/>
    <w:rsid w:val="002812C3"/>
    <w:rsid w:val="002F40A7"/>
    <w:rsid w:val="003701E4"/>
    <w:rsid w:val="00376944"/>
    <w:rsid w:val="00393C62"/>
    <w:rsid w:val="003A7B84"/>
    <w:rsid w:val="00426347"/>
    <w:rsid w:val="0043407C"/>
    <w:rsid w:val="004418E6"/>
    <w:rsid w:val="0046072B"/>
    <w:rsid w:val="004D2C22"/>
    <w:rsid w:val="0051381E"/>
    <w:rsid w:val="00515FE6"/>
    <w:rsid w:val="005B1FD4"/>
    <w:rsid w:val="005E3559"/>
    <w:rsid w:val="006265B1"/>
    <w:rsid w:val="006467B4"/>
    <w:rsid w:val="00675B6E"/>
    <w:rsid w:val="006B174D"/>
    <w:rsid w:val="006F5C42"/>
    <w:rsid w:val="00712076"/>
    <w:rsid w:val="0071510E"/>
    <w:rsid w:val="00720E31"/>
    <w:rsid w:val="00773243"/>
    <w:rsid w:val="0078563F"/>
    <w:rsid w:val="00823444"/>
    <w:rsid w:val="00831FFF"/>
    <w:rsid w:val="008631EB"/>
    <w:rsid w:val="008E2745"/>
    <w:rsid w:val="009220A1"/>
    <w:rsid w:val="009E355F"/>
    <w:rsid w:val="009F6382"/>
    <w:rsid w:val="00A55284"/>
    <w:rsid w:val="00A90C7A"/>
    <w:rsid w:val="00AC6EFA"/>
    <w:rsid w:val="00AE7A00"/>
    <w:rsid w:val="00AF4190"/>
    <w:rsid w:val="00B15A2D"/>
    <w:rsid w:val="00B331F4"/>
    <w:rsid w:val="00B43919"/>
    <w:rsid w:val="00BE7845"/>
    <w:rsid w:val="00BF4943"/>
    <w:rsid w:val="00C122F1"/>
    <w:rsid w:val="00CE0D12"/>
    <w:rsid w:val="00D375BC"/>
    <w:rsid w:val="00D87BBB"/>
    <w:rsid w:val="00D9083E"/>
    <w:rsid w:val="00D97D67"/>
    <w:rsid w:val="00DA0159"/>
    <w:rsid w:val="00DF1D1F"/>
    <w:rsid w:val="00E04ADE"/>
    <w:rsid w:val="00E30F23"/>
    <w:rsid w:val="00E440E6"/>
    <w:rsid w:val="00E56AE5"/>
    <w:rsid w:val="00E6486A"/>
    <w:rsid w:val="00EF5FB7"/>
    <w:rsid w:val="00F04E8B"/>
    <w:rsid w:val="00F30A3A"/>
    <w:rsid w:val="00F7165A"/>
    <w:rsid w:val="00F94106"/>
    <w:rsid w:val="00FD4F00"/>
    <w:rsid w:val="00FD5831"/>
    <w:rsid w:val="26B33A50"/>
    <w:rsid w:val="27FDE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33A50"/>
  <w15:chartTrackingRefBased/>
  <w15:docId w15:val="{F2CE2A79-A199-406E-B518-7934F16CF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7159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customStyle="1" w:styleId="Heading1Char">
    <w:name w:val="Heading 1 Char"/>
    <w:basedOn w:val="DefaultParagraphFont"/>
    <w:link w:val="Heading1"/>
    <w:uiPriority w:val="9"/>
    <w:rsid w:val="0017159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43407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3407C"/>
    <w:rPr>
      <w:b/>
      <w:bCs/>
    </w:rPr>
  </w:style>
  <w:style w:type="character" w:styleId="Emphasis">
    <w:name w:val="Emphasis"/>
    <w:basedOn w:val="DefaultParagraphFont"/>
    <w:uiPriority w:val="20"/>
    <w:qFormat/>
    <w:rsid w:val="0043407C"/>
    <w:rPr>
      <w:i/>
      <w:iCs/>
    </w:rPr>
  </w:style>
  <w:style w:type="paragraph" w:styleId="Header">
    <w:name w:val="header"/>
    <w:basedOn w:val="Normal"/>
    <w:link w:val="HeaderChar"/>
    <w:uiPriority w:val="99"/>
    <w:unhideWhenUsed/>
    <w:rsid w:val="0043407C"/>
    <w:pPr>
      <w:tabs>
        <w:tab w:val="center" w:pos="4680"/>
        <w:tab w:val="right" w:pos="9360"/>
      </w:tabs>
      <w:spacing w:after="0" w:line="240" w:lineRule="auto"/>
    </w:pPr>
    <w:rPr>
      <w:rFonts w:eastAsiaTheme="minorEastAsia" w:cs="Times New Roman"/>
    </w:rPr>
  </w:style>
  <w:style w:type="character" w:customStyle="1" w:styleId="HeaderChar">
    <w:name w:val="Header Char"/>
    <w:basedOn w:val="DefaultParagraphFont"/>
    <w:link w:val="Header"/>
    <w:uiPriority w:val="99"/>
    <w:rsid w:val="0043407C"/>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742084">
      <w:bodyDiv w:val="1"/>
      <w:marLeft w:val="0"/>
      <w:marRight w:val="0"/>
      <w:marTop w:val="0"/>
      <w:marBottom w:val="0"/>
      <w:divBdr>
        <w:top w:val="none" w:sz="0" w:space="0" w:color="auto"/>
        <w:left w:val="none" w:sz="0" w:space="0" w:color="auto"/>
        <w:bottom w:val="none" w:sz="0" w:space="0" w:color="auto"/>
        <w:right w:val="none" w:sz="0" w:space="0" w:color="auto"/>
      </w:divBdr>
    </w:div>
    <w:div w:id="709914334">
      <w:bodyDiv w:val="1"/>
      <w:marLeft w:val="0"/>
      <w:marRight w:val="0"/>
      <w:marTop w:val="0"/>
      <w:marBottom w:val="0"/>
      <w:divBdr>
        <w:top w:val="none" w:sz="0" w:space="0" w:color="auto"/>
        <w:left w:val="none" w:sz="0" w:space="0" w:color="auto"/>
        <w:bottom w:val="none" w:sz="0" w:space="0" w:color="auto"/>
        <w:right w:val="none" w:sz="0" w:space="0" w:color="auto"/>
      </w:divBdr>
    </w:div>
    <w:div w:id="1471828227">
      <w:bodyDiv w:val="1"/>
      <w:marLeft w:val="0"/>
      <w:marRight w:val="0"/>
      <w:marTop w:val="0"/>
      <w:marBottom w:val="0"/>
      <w:divBdr>
        <w:top w:val="none" w:sz="0" w:space="0" w:color="auto"/>
        <w:left w:val="none" w:sz="0" w:space="0" w:color="auto"/>
        <w:bottom w:val="none" w:sz="0" w:space="0" w:color="auto"/>
        <w:right w:val="none" w:sz="0" w:space="0" w:color="auto"/>
      </w:divBdr>
    </w:div>
    <w:div w:id="1477531396">
      <w:bodyDiv w:val="1"/>
      <w:marLeft w:val="0"/>
      <w:marRight w:val="0"/>
      <w:marTop w:val="0"/>
      <w:marBottom w:val="0"/>
      <w:divBdr>
        <w:top w:val="none" w:sz="0" w:space="0" w:color="auto"/>
        <w:left w:val="none" w:sz="0" w:space="0" w:color="auto"/>
        <w:bottom w:val="none" w:sz="0" w:space="0" w:color="auto"/>
        <w:right w:val="none" w:sz="0" w:space="0" w:color="auto"/>
      </w:divBdr>
    </w:div>
    <w:div w:id="176248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www.ig.com/en/trading-strategies/what-are-the-key-macroeconomic-indicators-to-watch--191014" TargetMode="Externa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s://www.goldengroupcre.com/rent-real-estate-news-talk/economic-development-incentives-in-illinoi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map.illinois.gov/programs/regional-economic-indicator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city-data.com/us-cities/The-Midwest/Chicago-Economy.html" TargetMode="External"/><Relationship Id="rId4" Type="http://schemas.openxmlformats.org/officeDocument/2006/relationships/webSettings" Target="webSettings.xml"/><Relationship Id="rId9" Type="http://schemas.openxmlformats.org/officeDocument/2006/relationships/hyperlink" Target="https://www.bea.gov/data/economic-accounts/regional" TargetMode="Externa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Illinois</a:t>
            </a:r>
            <a:r>
              <a:rPr lang="en-US" sz="1200" b="1" baseline="0">
                <a:latin typeface="Times New Roman" panose="02020603050405020304" pitchFamily="18" charset="0"/>
                <a:cs typeface="Times New Roman" panose="02020603050405020304" pitchFamily="18" charset="0"/>
              </a:rPr>
              <a:t> </a:t>
            </a:r>
            <a:r>
              <a:rPr lang="en-US" sz="1200" b="1">
                <a:latin typeface="Times New Roman" panose="02020603050405020304" pitchFamily="18" charset="0"/>
                <a:cs typeface="Times New Roman" panose="02020603050405020304" pitchFamily="18" charset="0"/>
              </a:rPr>
              <a:t>Unemployement</a:t>
            </a:r>
            <a:r>
              <a:rPr lang="en-US" sz="1200" b="1" baseline="0">
                <a:latin typeface="Times New Roman" panose="02020603050405020304" pitchFamily="18" charset="0"/>
                <a:cs typeface="Times New Roman" panose="02020603050405020304" pitchFamily="18" charset="0"/>
              </a:rPr>
              <a:t> Rate 2014-20</a:t>
            </a:r>
            <a:r>
              <a:rPr lang="en-US" sz="1200" b="1">
                <a:latin typeface="Times New Roman" panose="02020603050405020304" pitchFamily="18" charset="0"/>
                <a:cs typeface="Times New Roman" panose="02020603050405020304" pitchFamily="18" charset="0"/>
              </a:rPr>
              <a:t>19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Series 1</c:v>
                </c:pt>
              </c:strCache>
            </c:strRef>
          </c:tx>
          <c:spPr>
            <a:ln w="28575" cap="rnd">
              <a:solidFill>
                <a:schemeClr val="accent1"/>
              </a:solidFill>
              <a:round/>
            </a:ln>
            <a:effectLst/>
          </c:spPr>
          <c:marker>
            <c:symbol val="none"/>
          </c:marker>
          <c:cat>
            <c:numRef>
              <c:f>Sheet1!$A$2:$A$70</c:f>
              <c:numCache>
                <c:formatCode>General</c:formatCode>
                <c:ptCount val="69"/>
                <c:pt idx="2" formatCode="mmm\-yy">
                  <c:v>41699</c:v>
                </c:pt>
                <c:pt idx="5" formatCode="mmm\-yy">
                  <c:v>41791</c:v>
                </c:pt>
                <c:pt idx="8" formatCode="mmm\-yy">
                  <c:v>41883</c:v>
                </c:pt>
                <c:pt idx="11" formatCode="mmm\-yy">
                  <c:v>41974</c:v>
                </c:pt>
                <c:pt idx="14" formatCode="mmm\-yy">
                  <c:v>42064</c:v>
                </c:pt>
                <c:pt idx="17" formatCode="mmm\-yy">
                  <c:v>42156</c:v>
                </c:pt>
                <c:pt idx="20" formatCode="mmm\-yy">
                  <c:v>42248</c:v>
                </c:pt>
                <c:pt idx="23" formatCode="mmm\-yy">
                  <c:v>42339</c:v>
                </c:pt>
                <c:pt idx="26" formatCode="mmm\-yy">
                  <c:v>42430</c:v>
                </c:pt>
                <c:pt idx="29" formatCode="mmm\-yy">
                  <c:v>42522</c:v>
                </c:pt>
                <c:pt idx="32" formatCode="mmm\-yy">
                  <c:v>42614</c:v>
                </c:pt>
                <c:pt idx="35" formatCode="mmm\-yy">
                  <c:v>42705</c:v>
                </c:pt>
                <c:pt idx="38" formatCode="mmm\-yy">
                  <c:v>42795</c:v>
                </c:pt>
                <c:pt idx="41" formatCode="mmm\-yy">
                  <c:v>42887</c:v>
                </c:pt>
                <c:pt idx="44" formatCode="mmm\-yy">
                  <c:v>42979</c:v>
                </c:pt>
                <c:pt idx="47" formatCode="mmm\-yy">
                  <c:v>43070</c:v>
                </c:pt>
                <c:pt idx="50" formatCode="mmm\-yy">
                  <c:v>43160</c:v>
                </c:pt>
                <c:pt idx="53" formatCode="mmm\-yy">
                  <c:v>43252</c:v>
                </c:pt>
                <c:pt idx="56" formatCode="mmm\-yy">
                  <c:v>43344</c:v>
                </c:pt>
                <c:pt idx="59" formatCode="mmm\-yy">
                  <c:v>43435</c:v>
                </c:pt>
                <c:pt idx="62" formatCode="mmm\-yy">
                  <c:v>43525</c:v>
                </c:pt>
                <c:pt idx="65" formatCode="mmm\-yy">
                  <c:v>43617</c:v>
                </c:pt>
                <c:pt idx="68" formatCode="mmm\-yy">
                  <c:v>43709</c:v>
                </c:pt>
              </c:numCache>
            </c:numRef>
          </c:cat>
          <c:val>
            <c:numRef>
              <c:f>Sheet1!$B$2:$B$70</c:f>
              <c:numCache>
                <c:formatCode>General</c:formatCode>
                <c:ptCount val="69"/>
                <c:pt idx="0">
                  <c:v>8.3000000000000007</c:v>
                </c:pt>
                <c:pt idx="1">
                  <c:v>8.1</c:v>
                </c:pt>
                <c:pt idx="2">
                  <c:v>7.8</c:v>
                </c:pt>
                <c:pt idx="3">
                  <c:v>7.6</c:v>
                </c:pt>
                <c:pt idx="4">
                  <c:v>7.1</c:v>
                </c:pt>
                <c:pt idx="5">
                  <c:v>6.9</c:v>
                </c:pt>
                <c:pt idx="6">
                  <c:v>6.7</c:v>
                </c:pt>
                <c:pt idx="7">
                  <c:v>6.6</c:v>
                </c:pt>
                <c:pt idx="8">
                  <c:v>6.4</c:v>
                </c:pt>
                <c:pt idx="9">
                  <c:v>6.3</c:v>
                </c:pt>
                <c:pt idx="10">
                  <c:v>6.1</c:v>
                </c:pt>
                <c:pt idx="11">
                  <c:v>6</c:v>
                </c:pt>
                <c:pt idx="12">
                  <c:v>6</c:v>
                </c:pt>
                <c:pt idx="13">
                  <c:v>6</c:v>
                </c:pt>
                <c:pt idx="14">
                  <c:v>6</c:v>
                </c:pt>
                <c:pt idx="15">
                  <c:v>6</c:v>
                </c:pt>
                <c:pt idx="16">
                  <c:v>5.9</c:v>
                </c:pt>
                <c:pt idx="17">
                  <c:v>5.9</c:v>
                </c:pt>
                <c:pt idx="18">
                  <c:v>5.9</c:v>
                </c:pt>
                <c:pt idx="19">
                  <c:v>5.9</c:v>
                </c:pt>
                <c:pt idx="20">
                  <c:v>5.9</c:v>
                </c:pt>
                <c:pt idx="21">
                  <c:v>6</c:v>
                </c:pt>
                <c:pt idx="22">
                  <c:v>6</c:v>
                </c:pt>
                <c:pt idx="23">
                  <c:v>6.1</c:v>
                </c:pt>
                <c:pt idx="24">
                  <c:v>6.1</c:v>
                </c:pt>
                <c:pt idx="25">
                  <c:v>6.1</c:v>
                </c:pt>
                <c:pt idx="26">
                  <c:v>6</c:v>
                </c:pt>
                <c:pt idx="27">
                  <c:v>5.9</c:v>
                </c:pt>
                <c:pt idx="28">
                  <c:v>5.8</c:v>
                </c:pt>
                <c:pt idx="29">
                  <c:v>5.7</c:v>
                </c:pt>
                <c:pt idx="30">
                  <c:v>5.6</c:v>
                </c:pt>
                <c:pt idx="31">
                  <c:v>5.6</c:v>
                </c:pt>
                <c:pt idx="32">
                  <c:v>5.5</c:v>
                </c:pt>
                <c:pt idx="33">
                  <c:v>5.4</c:v>
                </c:pt>
                <c:pt idx="34">
                  <c:v>5.3</c:v>
                </c:pt>
                <c:pt idx="35">
                  <c:v>5.0999999999999996</c:v>
                </c:pt>
                <c:pt idx="36">
                  <c:v>5</c:v>
                </c:pt>
                <c:pt idx="37">
                  <c:v>4.9000000000000004</c:v>
                </c:pt>
                <c:pt idx="38">
                  <c:v>4.9000000000000004</c:v>
                </c:pt>
                <c:pt idx="39">
                  <c:v>4.9000000000000004</c:v>
                </c:pt>
                <c:pt idx="40">
                  <c:v>4.9000000000000004</c:v>
                </c:pt>
                <c:pt idx="41">
                  <c:v>4.9000000000000004</c:v>
                </c:pt>
                <c:pt idx="42">
                  <c:v>4.8</c:v>
                </c:pt>
                <c:pt idx="43">
                  <c:v>4.7</c:v>
                </c:pt>
                <c:pt idx="44">
                  <c:v>4.5999999999999996</c:v>
                </c:pt>
                <c:pt idx="45">
                  <c:v>4.4000000000000004</c:v>
                </c:pt>
                <c:pt idx="46">
                  <c:v>4.4000000000000004</c:v>
                </c:pt>
                <c:pt idx="47">
                  <c:v>4.3</c:v>
                </c:pt>
                <c:pt idx="48">
                  <c:v>4.3</c:v>
                </c:pt>
                <c:pt idx="49">
                  <c:v>4.3</c:v>
                </c:pt>
                <c:pt idx="50">
                  <c:v>4.3</c:v>
                </c:pt>
                <c:pt idx="51">
                  <c:v>4.2</c:v>
                </c:pt>
                <c:pt idx="52">
                  <c:v>4.2</c:v>
                </c:pt>
                <c:pt idx="53">
                  <c:v>4.2</c:v>
                </c:pt>
                <c:pt idx="54">
                  <c:v>4.2</c:v>
                </c:pt>
                <c:pt idx="55">
                  <c:v>4.3</c:v>
                </c:pt>
                <c:pt idx="56">
                  <c:v>4.3</c:v>
                </c:pt>
                <c:pt idx="57">
                  <c:v>4.3</c:v>
                </c:pt>
                <c:pt idx="58">
                  <c:v>4.3</c:v>
                </c:pt>
                <c:pt idx="59">
                  <c:v>4.4000000000000004</c:v>
                </c:pt>
                <c:pt idx="60">
                  <c:v>4.4000000000000004</c:v>
                </c:pt>
                <c:pt idx="61">
                  <c:v>4.4000000000000004</c:v>
                </c:pt>
                <c:pt idx="62">
                  <c:v>4.3</c:v>
                </c:pt>
                <c:pt idx="63">
                  <c:v>4.3</c:v>
                </c:pt>
                <c:pt idx="64">
                  <c:v>4.2</c:v>
                </c:pt>
                <c:pt idx="65">
                  <c:v>4</c:v>
                </c:pt>
                <c:pt idx="66">
                  <c:v>3.9</c:v>
                </c:pt>
                <c:pt idx="67">
                  <c:v>3.9</c:v>
                </c:pt>
                <c:pt idx="68">
                  <c:v>3.6</c:v>
                </c:pt>
              </c:numCache>
            </c:numRef>
          </c:val>
          <c:smooth val="0"/>
        </c:ser>
        <c:dLbls>
          <c:showLegendKey val="0"/>
          <c:showVal val="0"/>
          <c:showCatName val="0"/>
          <c:showSerName val="0"/>
          <c:showPercent val="0"/>
          <c:showBubbleSize val="0"/>
        </c:dLbls>
        <c:smooth val="0"/>
        <c:axId val="489922184"/>
        <c:axId val="489922576"/>
      </c:lineChart>
      <c:dateAx>
        <c:axId val="489922184"/>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9922576"/>
        <c:crosses val="autoZero"/>
        <c:auto val="1"/>
        <c:lblOffset val="100"/>
        <c:baseTimeUnit val="months"/>
      </c:dateAx>
      <c:valAx>
        <c:axId val="489922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9922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200">
                <a:latin typeface="Times New Roman" panose="02020603050405020304" pitchFamily="18" charset="0"/>
                <a:cs typeface="Times New Roman" panose="02020603050405020304" pitchFamily="18" charset="0"/>
              </a:rPr>
              <a:t>Illinois</a:t>
            </a:r>
            <a:r>
              <a:rPr lang="en-US" sz="1200" baseline="0">
                <a:latin typeface="Times New Roman" panose="02020603050405020304" pitchFamily="18" charset="0"/>
                <a:cs typeface="Times New Roman" panose="02020603050405020304" pitchFamily="18" charset="0"/>
              </a:rPr>
              <a:t> </a:t>
            </a:r>
            <a:r>
              <a:rPr lang="en-US" sz="1200">
                <a:latin typeface="Times New Roman" panose="02020603050405020304" pitchFamily="18" charset="0"/>
                <a:cs typeface="Times New Roman" panose="02020603050405020304" pitchFamily="18" charset="0"/>
              </a:rPr>
              <a:t>Real GDP Percentage</a:t>
            </a:r>
            <a:r>
              <a:rPr lang="en-US" sz="1200" baseline="0">
                <a:latin typeface="Times New Roman" panose="02020603050405020304" pitchFamily="18" charset="0"/>
                <a:cs typeface="Times New Roman" panose="02020603050405020304" pitchFamily="18" charset="0"/>
              </a:rPr>
              <a:t> Change</a:t>
            </a:r>
            <a:endParaRPr lang="en-US" sz="1200">
              <a:latin typeface="Times New Roman" panose="02020603050405020304" pitchFamily="18" charset="0"/>
              <a:cs typeface="Times New Roman" panose="02020603050405020304" pitchFamily="18" charset="0"/>
            </a:endParaRPr>
          </a:p>
        </c:rich>
      </c:tx>
      <c:layout>
        <c:manualLayout>
          <c:xMode val="edge"/>
          <c:yMode val="edge"/>
          <c:x val="0.37094907407407413"/>
          <c:y val="3.757936507936508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barChart>
        <c:barDir val="col"/>
        <c:grouping val="clustered"/>
        <c:varyColors val="0"/>
        <c:ser>
          <c:idx val="0"/>
          <c:order val="0"/>
          <c:tx>
            <c:strRef>
              <c:f>Sheet1!$B$1</c:f>
              <c:strCache>
                <c:ptCount val="1"/>
                <c:pt idx="0">
                  <c:v>Column3</c:v>
                </c:pt>
              </c:strCache>
            </c:strRef>
          </c:tx>
          <c:spPr>
            <a:solidFill>
              <a:schemeClr val="accent1"/>
            </a:solidFill>
            <a:ln>
              <a:solidFill>
                <a:schemeClr val="accent1"/>
              </a:solidFill>
            </a:ln>
            <a:effectLst/>
          </c:spPr>
          <c:invertIfNegative val="0"/>
          <c:cat>
            <c:strRef>
              <c:f>Sheet1!$A$2:$A$19</c:f>
              <c:strCache>
                <c:ptCount val="16"/>
                <c:pt idx="0">
                  <c:v>Q3 2015</c:v>
                </c:pt>
                <c:pt idx="1">
                  <c:v>Q4</c:v>
                </c:pt>
                <c:pt idx="2">
                  <c:v>Q1 2016</c:v>
                </c:pt>
                <c:pt idx="3">
                  <c:v>Q2</c:v>
                </c:pt>
                <c:pt idx="4">
                  <c:v>Q3 </c:v>
                </c:pt>
                <c:pt idx="5">
                  <c:v>Q4</c:v>
                </c:pt>
                <c:pt idx="6">
                  <c:v>Q1 2017</c:v>
                </c:pt>
                <c:pt idx="7">
                  <c:v>Q2</c:v>
                </c:pt>
                <c:pt idx="8">
                  <c:v>Q3</c:v>
                </c:pt>
                <c:pt idx="9">
                  <c:v>Q4</c:v>
                </c:pt>
                <c:pt idx="10">
                  <c:v>Q1 2018</c:v>
                </c:pt>
                <c:pt idx="11">
                  <c:v>Q2</c:v>
                </c:pt>
                <c:pt idx="12">
                  <c:v>Q3</c:v>
                </c:pt>
                <c:pt idx="13">
                  <c:v>Q4</c:v>
                </c:pt>
                <c:pt idx="14">
                  <c:v>Q1 2019</c:v>
                </c:pt>
                <c:pt idx="15">
                  <c:v>Q2</c:v>
                </c:pt>
              </c:strCache>
            </c:strRef>
          </c:cat>
          <c:val>
            <c:numRef>
              <c:f>Sheet1!$B$2:$B$19</c:f>
              <c:numCache>
                <c:formatCode>General</c:formatCode>
                <c:ptCount val="18"/>
                <c:pt idx="0">
                  <c:v>1.4</c:v>
                </c:pt>
                <c:pt idx="1">
                  <c:v>0.3</c:v>
                </c:pt>
                <c:pt idx="2">
                  <c:v>2</c:v>
                </c:pt>
                <c:pt idx="3">
                  <c:v>1.9</c:v>
                </c:pt>
                <c:pt idx="4">
                  <c:v>2.2000000000000002</c:v>
                </c:pt>
                <c:pt idx="5">
                  <c:v>2</c:v>
                </c:pt>
                <c:pt idx="6">
                  <c:v>2.2999999999999998</c:v>
                </c:pt>
                <c:pt idx="7">
                  <c:v>2.2000000000000002</c:v>
                </c:pt>
                <c:pt idx="8">
                  <c:v>3.1</c:v>
                </c:pt>
                <c:pt idx="9">
                  <c:v>3.5</c:v>
                </c:pt>
                <c:pt idx="10">
                  <c:v>2.6</c:v>
                </c:pt>
                <c:pt idx="11">
                  <c:v>3.5</c:v>
                </c:pt>
                <c:pt idx="12">
                  <c:v>2.9</c:v>
                </c:pt>
                <c:pt idx="13">
                  <c:v>1.1000000000000001</c:v>
                </c:pt>
                <c:pt idx="14">
                  <c:v>3.1</c:v>
                </c:pt>
                <c:pt idx="15">
                  <c:v>2.1</c:v>
                </c:pt>
              </c:numCache>
            </c:numRef>
          </c:val>
        </c:ser>
        <c:dLbls>
          <c:showLegendKey val="0"/>
          <c:showVal val="0"/>
          <c:showCatName val="0"/>
          <c:showSerName val="0"/>
          <c:showPercent val="0"/>
          <c:showBubbleSize val="0"/>
        </c:dLbls>
        <c:gapWidth val="267"/>
        <c:overlap val="-43"/>
        <c:axId val="489922968"/>
        <c:axId val="489923360"/>
      </c:barChart>
      <c:catAx>
        <c:axId val="48992296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489923360"/>
        <c:crosses val="autoZero"/>
        <c:auto val="1"/>
        <c:lblAlgn val="ctr"/>
        <c:lblOffset val="100"/>
        <c:noMultiLvlLbl val="0"/>
      </c:catAx>
      <c:valAx>
        <c:axId val="4899233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489922968"/>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3574</Words>
  <Characters>20377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zaid shaqbouah</dc:creator>
  <cp:keywords/>
  <dc:description/>
  <cp:lastModifiedBy>Ryan Peace</cp:lastModifiedBy>
  <cp:revision>7</cp:revision>
  <dcterms:created xsi:type="dcterms:W3CDTF">2019-12-21T20:50:00Z</dcterms:created>
  <dcterms:modified xsi:type="dcterms:W3CDTF">2019-12-21T20:58:00Z</dcterms:modified>
</cp:coreProperties>
</file>